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drawings/drawing3.xml" ContentType="application/vnd.openxmlformats-officedocument.drawingml.chartshapes+xml"/>
  <Override PartName="/word/charts/chart7.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D828B" w14:textId="3B4BF536" w:rsidR="00A12E78" w:rsidRPr="00273C1C" w:rsidRDefault="00A12E78">
      <w:pPr>
        <w:rPr>
          <w:rFonts w:ascii="Arial" w:hAnsi="Arial" w:cs="Arial"/>
        </w:rPr>
      </w:pPr>
      <w:r w:rsidRPr="00273C1C">
        <w:rPr>
          <w:rFonts w:ascii="Arial" w:hAnsi="Arial" w:cs="Arial"/>
        </w:rPr>
        <w:br w:type="column"/>
      </w:r>
    </w:p>
    <w:tbl>
      <w:tblPr>
        <w:tblW w:w="9436" w:type="dxa"/>
        <w:tblInd w:w="113" w:type="dxa"/>
        <w:tblLook w:val="04A0" w:firstRow="1" w:lastRow="0" w:firstColumn="1" w:lastColumn="0" w:noHBand="0" w:noVBand="1"/>
      </w:tblPr>
      <w:tblGrid>
        <w:gridCol w:w="959"/>
        <w:gridCol w:w="5755"/>
        <w:gridCol w:w="2722"/>
      </w:tblGrid>
      <w:tr w:rsidR="00526FAB" w:rsidRPr="005B4DCE" w14:paraId="67341C4F" w14:textId="77777777" w:rsidTr="00526FAB">
        <w:trPr>
          <w:trHeight w:val="1550"/>
        </w:trPr>
        <w:tc>
          <w:tcPr>
            <w:tcW w:w="9436" w:type="dxa"/>
            <w:gridSpan w:val="3"/>
          </w:tcPr>
          <w:p w14:paraId="5C95503D"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40"/>
                <w:szCs w:val="40"/>
                <w:lang w:eastAsia="cs-CZ"/>
              </w:rPr>
            </w:pPr>
            <w:r w:rsidRPr="005B4DCE">
              <w:rPr>
                <w:rFonts w:ascii="Arial" w:hAnsi="Arial" w:cs="Arial"/>
                <w:sz w:val="40"/>
                <w:szCs w:val="40"/>
                <w:lang w:eastAsia="cs-CZ"/>
              </w:rPr>
              <w:t>Štatistický úrad Slovenskej republiky</w:t>
            </w:r>
          </w:p>
        </w:tc>
      </w:tr>
      <w:tr w:rsidR="00526FAB" w:rsidRPr="005B4DCE" w14:paraId="05115855" w14:textId="77777777" w:rsidTr="00526FAB">
        <w:trPr>
          <w:trHeight w:val="300"/>
        </w:trPr>
        <w:tc>
          <w:tcPr>
            <w:tcW w:w="959" w:type="dxa"/>
            <w:vAlign w:val="center"/>
          </w:tcPr>
          <w:p w14:paraId="552EEEF8"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Kód:</w:t>
            </w:r>
          </w:p>
        </w:tc>
        <w:tc>
          <w:tcPr>
            <w:tcW w:w="8477" w:type="dxa"/>
            <w:gridSpan w:val="2"/>
            <w:vAlign w:val="center"/>
          </w:tcPr>
          <w:p w14:paraId="04928BFF" w14:textId="5AA2DE8B" w:rsidR="00526FAB" w:rsidRPr="005B4DCE" w:rsidRDefault="00526FAB" w:rsidP="0033383C">
            <w:pPr>
              <w:widowControl/>
              <w:tabs>
                <w:tab w:val="left" w:pos="426"/>
              </w:tabs>
              <w:overflowPunct/>
              <w:autoSpaceDE/>
              <w:autoSpaceDN/>
              <w:adjustRightInd/>
              <w:jc w:val="left"/>
              <w:textAlignment w:val="auto"/>
              <w:rPr>
                <w:rFonts w:ascii="Arial" w:hAnsi="Arial" w:cs="Arial"/>
                <w:sz w:val="20"/>
                <w:lang w:eastAsia="cs-CZ"/>
              </w:rPr>
            </w:pPr>
            <w:r w:rsidRPr="000C5307">
              <w:rPr>
                <w:rFonts w:ascii="Arial" w:hAnsi="Arial" w:cs="Arial"/>
                <w:lang w:eastAsia="cs-CZ"/>
              </w:rPr>
              <w:t>0</w:t>
            </w:r>
            <w:r w:rsidR="007263A0">
              <w:rPr>
                <w:rFonts w:ascii="Arial" w:hAnsi="Arial" w:cs="Arial"/>
                <w:lang w:eastAsia="cs-CZ"/>
              </w:rPr>
              <w:t>1</w:t>
            </w:r>
            <w:r w:rsidRPr="000C5307">
              <w:rPr>
                <w:rFonts w:ascii="Arial" w:hAnsi="Arial" w:cs="Arial"/>
                <w:lang w:eastAsia="cs-CZ"/>
              </w:rPr>
              <w:t>0</w:t>
            </w:r>
            <w:r w:rsidR="00784EDC">
              <w:rPr>
                <w:rFonts w:ascii="Arial" w:hAnsi="Arial" w:cs="Arial"/>
                <w:lang w:eastAsia="cs-CZ"/>
              </w:rPr>
              <w:t>3</w:t>
            </w:r>
            <w:r w:rsidRPr="000C5307">
              <w:rPr>
                <w:rFonts w:ascii="Arial" w:hAnsi="Arial" w:cs="Arial"/>
                <w:lang w:eastAsia="cs-CZ"/>
              </w:rPr>
              <w:t>2</w:t>
            </w:r>
            <w:r w:rsidR="008F73F4">
              <w:rPr>
                <w:rFonts w:ascii="Arial" w:hAnsi="Arial" w:cs="Arial"/>
                <w:lang w:eastAsia="cs-CZ"/>
              </w:rPr>
              <w:t>6</w:t>
            </w:r>
          </w:p>
        </w:tc>
      </w:tr>
      <w:tr w:rsidR="00526FAB" w:rsidRPr="005B4DCE" w14:paraId="25C3C3C0" w14:textId="77777777" w:rsidTr="00526FAB">
        <w:trPr>
          <w:trHeight w:val="300"/>
        </w:trPr>
        <w:tc>
          <w:tcPr>
            <w:tcW w:w="959" w:type="dxa"/>
            <w:vAlign w:val="center"/>
          </w:tcPr>
          <w:p w14:paraId="05766C2E"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Okruh:</w:t>
            </w:r>
          </w:p>
        </w:tc>
        <w:tc>
          <w:tcPr>
            <w:tcW w:w="8477" w:type="dxa"/>
            <w:gridSpan w:val="2"/>
            <w:vAlign w:val="center"/>
          </w:tcPr>
          <w:p w14:paraId="2B20D623" w14:textId="1750E31D"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 xml:space="preserve">Súborné </w:t>
            </w:r>
            <w:r w:rsidR="0078745C">
              <w:rPr>
                <w:rFonts w:ascii="Arial" w:hAnsi="Arial" w:cs="Arial"/>
                <w:lang w:eastAsia="cs-CZ"/>
              </w:rPr>
              <w:t>produkty</w:t>
            </w:r>
          </w:p>
        </w:tc>
      </w:tr>
      <w:tr w:rsidR="00526FAB" w:rsidRPr="005B4DCE" w14:paraId="55D6B97A" w14:textId="77777777" w:rsidTr="00526FAB">
        <w:trPr>
          <w:trHeight w:val="300"/>
        </w:trPr>
        <w:tc>
          <w:tcPr>
            <w:tcW w:w="959" w:type="dxa"/>
            <w:vAlign w:val="center"/>
          </w:tcPr>
          <w:p w14:paraId="623957B8"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Dátum:</w:t>
            </w:r>
          </w:p>
        </w:tc>
        <w:tc>
          <w:tcPr>
            <w:tcW w:w="8477" w:type="dxa"/>
            <w:gridSpan w:val="2"/>
            <w:vAlign w:val="center"/>
          </w:tcPr>
          <w:p w14:paraId="4CE705CF" w14:textId="3B2B9083" w:rsidR="00526FAB" w:rsidRPr="005B4DCE" w:rsidRDefault="008F73F4" w:rsidP="00573A0B">
            <w:pPr>
              <w:widowControl/>
              <w:tabs>
                <w:tab w:val="left" w:pos="426"/>
              </w:tabs>
              <w:overflowPunct/>
              <w:autoSpaceDE/>
              <w:autoSpaceDN/>
              <w:adjustRightInd/>
              <w:jc w:val="left"/>
              <w:textAlignment w:val="auto"/>
              <w:rPr>
                <w:rFonts w:ascii="Arial" w:hAnsi="Arial" w:cs="Arial"/>
                <w:sz w:val="20"/>
                <w:lang w:eastAsia="cs-CZ"/>
              </w:rPr>
            </w:pPr>
            <w:r>
              <w:rPr>
                <w:rFonts w:ascii="Arial" w:hAnsi="Arial" w:cs="Arial"/>
                <w:lang w:eastAsia="cs-CZ"/>
              </w:rPr>
              <w:t>marec</w:t>
            </w:r>
            <w:r w:rsidR="000C5307">
              <w:rPr>
                <w:rFonts w:ascii="Arial" w:hAnsi="Arial" w:cs="Arial"/>
                <w:lang w:eastAsia="cs-CZ"/>
              </w:rPr>
              <w:t xml:space="preserve"> 202</w:t>
            </w:r>
            <w:r>
              <w:rPr>
                <w:rFonts w:ascii="Arial" w:hAnsi="Arial" w:cs="Arial"/>
                <w:lang w:eastAsia="cs-CZ"/>
              </w:rPr>
              <w:t>6</w:t>
            </w:r>
          </w:p>
        </w:tc>
      </w:tr>
      <w:tr w:rsidR="00526FAB" w:rsidRPr="005B4DCE" w14:paraId="0F3894B4" w14:textId="77777777" w:rsidTr="00526FAB">
        <w:trPr>
          <w:trHeight w:val="9665"/>
        </w:trPr>
        <w:tc>
          <w:tcPr>
            <w:tcW w:w="9436" w:type="dxa"/>
            <w:gridSpan w:val="3"/>
          </w:tcPr>
          <w:p w14:paraId="29967103"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0B7A44F4" w14:textId="31132882" w:rsidR="00526FAB"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4705D80C"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6CB3F557"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4ED80D5B" w14:textId="77777777" w:rsidR="00526FAB" w:rsidRPr="00B47967" w:rsidRDefault="00526FAB" w:rsidP="00526FAB">
            <w:pPr>
              <w:widowControl/>
              <w:tabs>
                <w:tab w:val="left" w:pos="426"/>
              </w:tabs>
              <w:overflowPunct/>
              <w:autoSpaceDE/>
              <w:autoSpaceDN/>
              <w:adjustRightInd/>
              <w:ind w:right="-165"/>
              <w:jc w:val="left"/>
              <w:textAlignment w:val="auto"/>
              <w:rPr>
                <w:rFonts w:ascii="Arial" w:hAnsi="Arial" w:cs="Arial"/>
                <w:sz w:val="64"/>
                <w:szCs w:val="64"/>
                <w:lang w:eastAsia="cs-CZ"/>
              </w:rPr>
            </w:pPr>
            <w:r w:rsidRPr="00B47967">
              <w:rPr>
                <w:rFonts w:ascii="Arial" w:hAnsi="Arial" w:cs="Arial"/>
                <w:sz w:val="64"/>
                <w:szCs w:val="64"/>
                <w:lang w:eastAsia="cs-CZ"/>
              </w:rPr>
              <w:t xml:space="preserve">Štatistická správa </w:t>
            </w:r>
          </w:p>
          <w:p w14:paraId="5185348C" w14:textId="77777777" w:rsidR="00526FAB" w:rsidRPr="00B47967" w:rsidRDefault="00526FAB" w:rsidP="00526FAB">
            <w:pPr>
              <w:widowControl/>
              <w:tabs>
                <w:tab w:val="left" w:pos="426"/>
              </w:tabs>
              <w:overflowPunct/>
              <w:autoSpaceDE/>
              <w:autoSpaceDN/>
              <w:adjustRightInd/>
              <w:ind w:right="-165"/>
              <w:jc w:val="left"/>
              <w:textAlignment w:val="auto"/>
              <w:rPr>
                <w:rFonts w:ascii="Arial" w:hAnsi="Arial" w:cs="Arial"/>
                <w:sz w:val="64"/>
                <w:szCs w:val="64"/>
                <w:lang w:eastAsia="cs-CZ"/>
              </w:rPr>
            </w:pPr>
            <w:r w:rsidRPr="00B47967">
              <w:rPr>
                <w:rFonts w:ascii="Arial" w:hAnsi="Arial" w:cs="Arial"/>
                <w:sz w:val="64"/>
                <w:szCs w:val="64"/>
                <w:lang w:eastAsia="cs-CZ"/>
              </w:rPr>
              <w:t xml:space="preserve">o hospodárstve SR </w:t>
            </w:r>
          </w:p>
          <w:p w14:paraId="7E3DCC8D" w14:textId="42F980ED" w:rsidR="00526FAB" w:rsidRPr="00B47967" w:rsidRDefault="00D52831" w:rsidP="00526FAB">
            <w:pPr>
              <w:widowControl/>
              <w:tabs>
                <w:tab w:val="left" w:pos="426"/>
              </w:tabs>
              <w:overflowPunct/>
              <w:autoSpaceDE/>
              <w:autoSpaceDN/>
              <w:adjustRightInd/>
              <w:ind w:right="-165"/>
              <w:jc w:val="left"/>
              <w:textAlignment w:val="auto"/>
              <w:rPr>
                <w:rFonts w:ascii="Arial" w:hAnsi="Arial" w:cs="Arial"/>
                <w:sz w:val="64"/>
                <w:szCs w:val="64"/>
                <w:lang w:eastAsia="cs-CZ"/>
              </w:rPr>
            </w:pPr>
            <w:r>
              <w:rPr>
                <w:rFonts w:ascii="Arial" w:hAnsi="Arial" w:cs="Arial"/>
                <w:sz w:val="64"/>
                <w:szCs w:val="64"/>
                <w:lang w:eastAsia="cs-CZ"/>
              </w:rPr>
              <w:t>v</w:t>
            </w:r>
            <w:r w:rsidR="008F73F4">
              <w:rPr>
                <w:rFonts w:ascii="Arial" w:hAnsi="Arial" w:cs="Arial"/>
                <w:sz w:val="64"/>
                <w:szCs w:val="64"/>
                <w:lang w:eastAsia="cs-CZ"/>
              </w:rPr>
              <w:t>o</w:t>
            </w:r>
            <w:r w:rsidR="00526FAB" w:rsidRPr="00B47967">
              <w:rPr>
                <w:rFonts w:ascii="Arial" w:hAnsi="Arial" w:cs="Arial"/>
                <w:sz w:val="64"/>
                <w:szCs w:val="64"/>
                <w:lang w:eastAsia="cs-CZ"/>
              </w:rPr>
              <w:t> </w:t>
            </w:r>
            <w:r w:rsidR="008F73F4">
              <w:rPr>
                <w:rFonts w:ascii="Arial" w:hAnsi="Arial" w:cs="Arial"/>
                <w:sz w:val="64"/>
                <w:szCs w:val="64"/>
                <w:lang w:eastAsia="cs-CZ"/>
              </w:rPr>
              <w:t>4</w:t>
            </w:r>
            <w:r w:rsidR="00526FAB" w:rsidRPr="00B47967">
              <w:rPr>
                <w:rFonts w:ascii="Arial" w:hAnsi="Arial" w:cs="Arial"/>
                <w:sz w:val="64"/>
                <w:szCs w:val="64"/>
                <w:lang w:eastAsia="cs-CZ"/>
              </w:rPr>
              <w:t>. štvrťroku 202</w:t>
            </w:r>
            <w:r w:rsidR="007263A0">
              <w:rPr>
                <w:rFonts w:ascii="Arial" w:hAnsi="Arial" w:cs="Arial"/>
                <w:sz w:val="64"/>
                <w:szCs w:val="64"/>
                <w:lang w:eastAsia="cs-CZ"/>
              </w:rPr>
              <w:t>5</w:t>
            </w:r>
          </w:p>
          <w:p w14:paraId="23DD3A6E"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4"/>
                <w:szCs w:val="64"/>
                <w:lang w:eastAsia="cs-CZ"/>
              </w:rPr>
            </w:pPr>
          </w:p>
          <w:p w14:paraId="79175584" w14:textId="77777777" w:rsidR="00526FAB" w:rsidRPr="005B4DCE" w:rsidRDefault="00526FAB" w:rsidP="00526FAB">
            <w:pPr>
              <w:widowControl/>
              <w:tabs>
                <w:tab w:val="left" w:pos="426"/>
                <w:tab w:val="left" w:pos="1701"/>
              </w:tabs>
              <w:overflowPunct/>
              <w:autoSpaceDE/>
              <w:autoSpaceDN/>
              <w:adjustRightInd/>
              <w:ind w:right="431"/>
              <w:jc w:val="left"/>
              <w:textAlignment w:val="auto"/>
              <w:rPr>
                <w:rFonts w:ascii="Arial" w:hAnsi="Arial" w:cs="Arial"/>
                <w:sz w:val="92"/>
                <w:lang w:eastAsia="cs-CZ"/>
              </w:rPr>
            </w:pPr>
          </w:p>
        </w:tc>
      </w:tr>
      <w:tr w:rsidR="00526FAB" w:rsidRPr="005B4DCE" w14:paraId="0A9315D0" w14:textId="77777777" w:rsidTr="00526FAB">
        <w:trPr>
          <w:trHeight w:val="300"/>
        </w:trPr>
        <w:tc>
          <w:tcPr>
            <w:tcW w:w="6714" w:type="dxa"/>
            <w:gridSpan w:val="2"/>
            <w:vAlign w:val="center"/>
          </w:tcPr>
          <w:p w14:paraId="08AD78AA" w14:textId="1D9A1696" w:rsidR="00526FAB" w:rsidRPr="005B4DCE" w:rsidRDefault="00526FAB" w:rsidP="00526FAB">
            <w:pPr>
              <w:widowControl/>
              <w:tabs>
                <w:tab w:val="left" w:pos="426"/>
              </w:tabs>
              <w:overflowPunct/>
              <w:autoSpaceDE/>
              <w:autoSpaceDN/>
              <w:adjustRightInd/>
              <w:jc w:val="left"/>
              <w:textAlignment w:val="auto"/>
              <w:rPr>
                <w:rFonts w:ascii="Arial" w:hAnsi="Arial" w:cs="Arial"/>
                <w:lang w:eastAsia="cs-CZ"/>
              </w:rPr>
            </w:pPr>
          </w:p>
        </w:tc>
        <w:tc>
          <w:tcPr>
            <w:tcW w:w="2722" w:type="dxa"/>
            <w:vMerge w:val="restart"/>
            <w:vAlign w:val="bottom"/>
          </w:tcPr>
          <w:p w14:paraId="01FAB8E0" w14:textId="70750EB2" w:rsidR="00526FAB" w:rsidRPr="00B47967" w:rsidRDefault="00526FAB" w:rsidP="00573A0B">
            <w:pPr>
              <w:widowControl/>
              <w:tabs>
                <w:tab w:val="left" w:pos="426"/>
              </w:tabs>
              <w:overflowPunct/>
              <w:autoSpaceDE/>
              <w:autoSpaceDN/>
              <w:adjustRightInd/>
              <w:spacing w:line="192" w:lineRule="auto"/>
              <w:jc w:val="right"/>
              <w:textAlignment w:val="auto"/>
              <w:rPr>
                <w:rFonts w:ascii="Arial" w:hAnsi="Arial" w:cs="Arial"/>
                <w:sz w:val="56"/>
                <w:szCs w:val="56"/>
                <w:lang w:eastAsia="cs-CZ"/>
              </w:rPr>
            </w:pPr>
            <w:r w:rsidRPr="00B47967">
              <w:rPr>
                <w:rFonts w:ascii="Arial" w:hAnsi="Arial" w:cs="Arial"/>
                <w:sz w:val="56"/>
                <w:szCs w:val="56"/>
                <w:lang w:eastAsia="cs-CZ"/>
              </w:rPr>
              <w:t>202</w:t>
            </w:r>
            <w:r w:rsidR="008F73F4">
              <w:rPr>
                <w:rFonts w:ascii="Arial" w:hAnsi="Arial" w:cs="Arial"/>
                <w:sz w:val="56"/>
                <w:szCs w:val="56"/>
                <w:lang w:eastAsia="cs-CZ"/>
              </w:rPr>
              <w:t>6</w:t>
            </w:r>
          </w:p>
        </w:tc>
      </w:tr>
      <w:tr w:rsidR="00526FAB" w:rsidRPr="005B4DCE" w14:paraId="46B1C515" w14:textId="77777777" w:rsidTr="00526FAB">
        <w:trPr>
          <w:trHeight w:val="300"/>
        </w:trPr>
        <w:tc>
          <w:tcPr>
            <w:tcW w:w="6714" w:type="dxa"/>
            <w:gridSpan w:val="2"/>
            <w:vAlign w:val="center"/>
          </w:tcPr>
          <w:p w14:paraId="47B87507" w14:textId="3B614D76" w:rsidR="00526FAB" w:rsidRPr="005B4DCE" w:rsidRDefault="008F73F4" w:rsidP="00C70F1C">
            <w:pPr>
              <w:widowControl/>
              <w:tabs>
                <w:tab w:val="left" w:pos="426"/>
              </w:tabs>
              <w:overflowPunct/>
              <w:autoSpaceDE/>
              <w:autoSpaceDN/>
              <w:adjustRightInd/>
              <w:jc w:val="left"/>
              <w:textAlignment w:val="auto"/>
              <w:rPr>
                <w:rFonts w:ascii="Arial" w:hAnsi="Arial" w:cs="Arial"/>
                <w:lang w:eastAsia="cs-CZ"/>
              </w:rPr>
            </w:pPr>
            <w:r w:rsidRPr="005B4DCE">
              <w:rPr>
                <w:rFonts w:ascii="Arial" w:hAnsi="Arial" w:cs="Arial"/>
                <w:lang w:eastAsia="cs-CZ"/>
              </w:rPr>
              <w:t>Sekcia diseminácie</w:t>
            </w:r>
            <w:r>
              <w:rPr>
                <w:rFonts w:ascii="Arial" w:hAnsi="Arial" w:cs="Arial"/>
                <w:lang w:eastAsia="cs-CZ"/>
              </w:rPr>
              <w:t xml:space="preserve"> a komunikácie</w:t>
            </w:r>
          </w:p>
        </w:tc>
        <w:tc>
          <w:tcPr>
            <w:tcW w:w="2722" w:type="dxa"/>
            <w:vMerge/>
          </w:tcPr>
          <w:p w14:paraId="0A6E5B50"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p>
        </w:tc>
      </w:tr>
      <w:tr w:rsidR="00526FAB" w:rsidRPr="005B4DCE" w14:paraId="6016F84C" w14:textId="77777777" w:rsidTr="00526FAB">
        <w:trPr>
          <w:trHeight w:val="300"/>
        </w:trPr>
        <w:tc>
          <w:tcPr>
            <w:tcW w:w="6714" w:type="dxa"/>
            <w:gridSpan w:val="2"/>
            <w:vAlign w:val="center"/>
          </w:tcPr>
          <w:p w14:paraId="2CE2993C" w14:textId="0949162A" w:rsidR="00526FAB" w:rsidRPr="005B4DCE" w:rsidRDefault="00526FAB" w:rsidP="00526FAB">
            <w:pPr>
              <w:widowControl/>
              <w:tabs>
                <w:tab w:val="left" w:pos="426"/>
              </w:tabs>
              <w:overflowPunct/>
              <w:autoSpaceDE/>
              <w:autoSpaceDN/>
              <w:adjustRightInd/>
              <w:jc w:val="left"/>
              <w:textAlignment w:val="auto"/>
              <w:rPr>
                <w:rFonts w:ascii="Arial" w:hAnsi="Arial" w:cs="Arial"/>
                <w:lang w:eastAsia="cs-CZ"/>
              </w:rPr>
            </w:pPr>
            <w:r w:rsidRPr="005B4DCE">
              <w:rPr>
                <w:rFonts w:ascii="Arial" w:hAnsi="Arial" w:cs="Arial"/>
                <w:lang w:eastAsia="cs-CZ"/>
              </w:rPr>
              <w:t xml:space="preserve">Odbor </w:t>
            </w:r>
            <w:r w:rsidR="00A225FD" w:rsidRPr="00A225FD">
              <w:rPr>
                <w:rFonts w:ascii="Arial" w:hAnsi="Arial" w:cs="Arial"/>
                <w:lang w:eastAsia="cs-CZ"/>
              </w:rPr>
              <w:t>komunikácie a koordinácie produktového portfólia</w:t>
            </w:r>
          </w:p>
        </w:tc>
        <w:tc>
          <w:tcPr>
            <w:tcW w:w="2722" w:type="dxa"/>
            <w:vMerge/>
          </w:tcPr>
          <w:p w14:paraId="0C1D6E23"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p>
        </w:tc>
      </w:tr>
      <w:tr w:rsidR="00526FAB" w:rsidRPr="005B4DCE" w14:paraId="0D806828" w14:textId="77777777" w:rsidTr="00526FAB">
        <w:trPr>
          <w:trHeight w:val="300"/>
        </w:trPr>
        <w:tc>
          <w:tcPr>
            <w:tcW w:w="6714" w:type="dxa"/>
            <w:gridSpan w:val="2"/>
            <w:vAlign w:val="center"/>
          </w:tcPr>
          <w:p w14:paraId="6C4075AA"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lang w:eastAsia="cs-CZ"/>
              </w:rPr>
            </w:pPr>
            <w:r w:rsidRPr="005B4DCE">
              <w:rPr>
                <w:rFonts w:ascii="Arial" w:hAnsi="Arial" w:cs="Arial"/>
                <w:lang w:eastAsia="cs-CZ"/>
              </w:rPr>
              <w:t>Kontaktná osoba: Gabriela Haasová, tel. +421/2/50 23 63 20</w:t>
            </w:r>
          </w:p>
        </w:tc>
        <w:tc>
          <w:tcPr>
            <w:tcW w:w="2722" w:type="dxa"/>
            <w:vMerge/>
          </w:tcPr>
          <w:p w14:paraId="7FEEF6D6"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p>
        </w:tc>
      </w:tr>
    </w:tbl>
    <w:p w14:paraId="1228761D" w14:textId="77777777" w:rsidR="00526FAB" w:rsidRDefault="00526FAB" w:rsidP="00526FAB">
      <w:pPr>
        <w:widowControl/>
        <w:tabs>
          <w:tab w:val="left" w:pos="426"/>
        </w:tabs>
        <w:overflowPunct/>
        <w:autoSpaceDE/>
        <w:autoSpaceDN/>
        <w:adjustRightInd/>
        <w:spacing w:after="120" w:line="276" w:lineRule="auto"/>
        <w:jc w:val="left"/>
        <w:textAlignment w:val="auto"/>
        <w:rPr>
          <w:rFonts w:ascii="Arial" w:hAnsi="Arial" w:cs="Arial"/>
          <w:b/>
          <w:bCs/>
          <w:lang w:eastAsia="cs-CZ"/>
        </w:rPr>
      </w:pPr>
    </w:p>
    <w:p w14:paraId="3547F720" w14:textId="1D146582" w:rsidR="00526FAB" w:rsidRPr="009D750F" w:rsidRDefault="00A12E78" w:rsidP="00526FAB">
      <w:pPr>
        <w:widowControl/>
        <w:tabs>
          <w:tab w:val="left" w:pos="426"/>
        </w:tabs>
        <w:overflowPunct/>
        <w:autoSpaceDE/>
        <w:autoSpaceDN/>
        <w:adjustRightInd/>
        <w:spacing w:after="120" w:line="276" w:lineRule="auto"/>
        <w:jc w:val="left"/>
        <w:textAlignment w:val="auto"/>
        <w:rPr>
          <w:rFonts w:ascii="Arial" w:hAnsi="Arial" w:cs="Arial"/>
          <w:b/>
          <w:bCs/>
          <w:lang w:eastAsia="cs-CZ"/>
        </w:rPr>
      </w:pPr>
      <w:r>
        <w:rPr>
          <w:rFonts w:ascii="Arial" w:hAnsi="Arial" w:cs="Arial"/>
          <w:b/>
          <w:bCs/>
          <w:lang w:eastAsia="cs-CZ"/>
        </w:rPr>
        <w:br w:type="column"/>
      </w:r>
      <w:r w:rsidR="00526FAB" w:rsidRPr="009D750F">
        <w:rPr>
          <w:rFonts w:ascii="Arial" w:hAnsi="Arial" w:cs="Arial"/>
          <w:b/>
          <w:noProof/>
        </w:rPr>
        <w:lastRenderedPageBreak/>
        <mc:AlternateContent>
          <mc:Choice Requires="wps">
            <w:drawing>
              <wp:anchor distT="45720" distB="45720" distL="114300" distR="114300" simplePos="0" relativeHeight="251659264" behindDoc="0" locked="0" layoutInCell="1" allowOverlap="1" wp14:anchorId="1BD2C866" wp14:editId="005EA296">
                <wp:simplePos x="0" y="0"/>
                <wp:positionH relativeFrom="column">
                  <wp:posOffset>3289935</wp:posOffset>
                </wp:positionH>
                <wp:positionV relativeFrom="paragraph">
                  <wp:posOffset>-9290050</wp:posOffset>
                </wp:positionV>
                <wp:extent cx="2421890" cy="252730"/>
                <wp:effectExtent l="0" t="0" r="0" b="0"/>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8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544C2" w14:textId="77777777" w:rsidR="00B53E33" w:rsidRDefault="00B53E33" w:rsidP="00526FA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BD2C866" id="_x0000_t202" coordsize="21600,21600" o:spt="202" path="m,l,21600r21600,l21600,xe">
                <v:stroke joinstyle="miter"/>
                <v:path gradientshapeok="t" o:connecttype="rect"/>
              </v:shapetype>
              <v:shape id="Textové pole 13" o:spid="_x0000_s1026" type="#_x0000_t202" style="position:absolute;margin-left:259.05pt;margin-top:-731.5pt;width:190.7pt;height:19.9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" filled="f" stroked="f">
                <v:textbox style="mso-fit-shape-to-text:t">
                  <w:txbxContent>
                    <w:p w14:paraId="7E3544C2" w14:textId="77777777" w:rsidR="00B53E33" w:rsidRDefault="00B53E33" w:rsidP="00526FAB"/>
                  </w:txbxContent>
                </v:textbox>
              </v:shape>
            </w:pict>
          </mc:Fallback>
        </mc:AlternateContent>
      </w:r>
      <w:r w:rsidR="00526FAB" w:rsidRPr="009D750F">
        <w:rPr>
          <w:rFonts w:ascii="Arial" w:hAnsi="Arial" w:cs="Arial"/>
          <w:b/>
          <w:bCs/>
          <w:lang w:eastAsia="cs-CZ"/>
        </w:rPr>
        <w:t xml:space="preserve">ZVEREJŇOVANIE VYBRANÝCH ÚDAJOV ŠTATISTICKÉHO ÚRADU SR </w:t>
      </w:r>
    </w:p>
    <w:p w14:paraId="24E05022" w14:textId="77777777" w:rsidR="00526FAB" w:rsidRPr="009D750F" w:rsidRDefault="00526FAB" w:rsidP="00526FAB">
      <w:pPr>
        <w:widowControl/>
        <w:tabs>
          <w:tab w:val="left" w:pos="426"/>
        </w:tabs>
        <w:overflowPunct/>
        <w:autoSpaceDE/>
        <w:autoSpaceDN/>
        <w:adjustRightInd/>
        <w:spacing w:line="276" w:lineRule="auto"/>
        <w:textAlignment w:val="auto"/>
        <w:rPr>
          <w:rFonts w:ascii="Arial" w:hAnsi="Arial" w:cs="Arial"/>
          <w:lang w:eastAsia="cs-CZ"/>
        </w:rPr>
      </w:pPr>
      <w:r w:rsidRPr="009D750F">
        <w:rPr>
          <w:rFonts w:ascii="Arial" w:hAnsi="Arial" w:cs="Arial"/>
          <w:lang w:eastAsia="cs-CZ"/>
        </w:rPr>
        <w:t xml:space="preserve">Kalendár prvého zverejnenia vybraných údajov Štatistického úradu SR je dostupný na internetovom portáli </w:t>
      </w:r>
      <w:hyperlink r:id="rId8" w:history="1">
        <w:r w:rsidRPr="009D750F">
          <w:rPr>
            <w:rFonts w:ascii="Arial" w:hAnsi="Arial" w:cs="Arial"/>
            <w:lang w:eastAsia="cs-CZ"/>
          </w:rPr>
          <w:t>www.statistics.sk</w:t>
        </w:r>
      </w:hyperlink>
      <w:r w:rsidRPr="009D750F">
        <w:rPr>
          <w:rFonts w:ascii="Arial" w:hAnsi="Arial" w:cs="Arial"/>
          <w:lang w:eastAsia="cs-CZ"/>
        </w:rPr>
        <w:t>. Všetky upresnenia termínov sú zverejnené na uvedenom internetovom portáli vopred.</w:t>
      </w:r>
    </w:p>
    <w:p w14:paraId="4C6EE318" w14:textId="77777777" w:rsidR="00526FAB" w:rsidRPr="009D750F" w:rsidRDefault="00526FAB" w:rsidP="00526FAB">
      <w:pPr>
        <w:widowControl/>
        <w:tabs>
          <w:tab w:val="left" w:pos="426"/>
        </w:tabs>
        <w:overflowPunct/>
        <w:autoSpaceDE/>
        <w:autoSpaceDN/>
        <w:adjustRightInd/>
        <w:spacing w:line="276" w:lineRule="auto"/>
        <w:textAlignment w:val="auto"/>
        <w:rPr>
          <w:rFonts w:ascii="Arial" w:hAnsi="Arial" w:cs="Arial"/>
          <w:lang w:eastAsia="cs-CZ"/>
        </w:rPr>
      </w:pPr>
    </w:p>
    <w:p w14:paraId="550AF924"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2104C9B9"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4FBB8A69"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68B9AD91"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36448232"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7D438EED"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23CF275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5D24F73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6E2CE52D"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4B60D44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5CBC750B"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44E30B40"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55337170"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3193B1B3"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0A14FBF8"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621307B3"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0F1B371F"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221E529E"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00542D4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lang w:eastAsia="cs-CZ"/>
        </w:rPr>
      </w:pPr>
      <w:r w:rsidRPr="009D750F">
        <w:rPr>
          <w:rFonts w:ascii="Arial" w:hAnsi="Arial" w:cs="Arial"/>
          <w:b/>
          <w:bCs/>
          <w:lang w:eastAsia="cs-CZ"/>
        </w:rPr>
        <w:t xml:space="preserve">Autori publikácie: </w:t>
      </w:r>
      <w:r w:rsidRPr="009D750F">
        <w:rPr>
          <w:rFonts w:ascii="Arial" w:hAnsi="Arial" w:cs="Arial"/>
          <w:bCs/>
          <w:lang w:eastAsia="cs-CZ"/>
        </w:rPr>
        <w:t>kolektív autorov</w:t>
      </w:r>
    </w:p>
    <w:p w14:paraId="3859A0E9" w14:textId="6FCED31D" w:rsidR="00526FAB" w:rsidRPr="009D750F" w:rsidRDefault="00DD479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r>
        <w:rPr>
          <w:rFonts w:ascii="Arial" w:hAnsi="Arial" w:cs="Arial"/>
          <w:lang w:eastAsia="cs-CZ"/>
        </w:rPr>
        <w:t xml:space="preserve">               </w:t>
      </w:r>
      <w:r w:rsidR="00526FAB" w:rsidRPr="009D750F">
        <w:rPr>
          <w:rFonts w:ascii="Arial" w:hAnsi="Arial" w:cs="Arial"/>
          <w:lang w:eastAsia="cs-CZ"/>
        </w:rPr>
        <w:t xml:space="preserve"> </w:t>
      </w:r>
    </w:p>
    <w:p w14:paraId="617ED340"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597B26D9" w14:textId="0B2ED0FB"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r w:rsidRPr="009D750F">
        <w:rPr>
          <w:rFonts w:ascii="Arial" w:hAnsi="Arial" w:cs="Arial"/>
          <w:b/>
          <w:lang w:eastAsia="cs-CZ"/>
        </w:rPr>
        <w:t>Grafická úprava obálky:</w:t>
      </w:r>
      <w:r w:rsidRPr="009D750F">
        <w:rPr>
          <w:rFonts w:ascii="Arial" w:hAnsi="Arial" w:cs="Arial"/>
          <w:lang w:eastAsia="cs-CZ"/>
        </w:rPr>
        <w:t xml:space="preserve"> </w:t>
      </w:r>
      <w:r w:rsidR="00BE4477">
        <w:rPr>
          <w:rFonts w:ascii="Arial" w:hAnsi="Arial" w:cs="Arial"/>
          <w:lang w:eastAsia="cs-CZ"/>
        </w:rPr>
        <w:t>Tomáš Miško</w:t>
      </w:r>
    </w:p>
    <w:p w14:paraId="648E428C"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409BEE65"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391563FF"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04A9F62C"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0755A2DF"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7B55F0EB" w14:textId="77777777" w:rsidR="00526FAB" w:rsidRPr="009D750F" w:rsidRDefault="00526FAB" w:rsidP="00526FAB">
      <w:pPr>
        <w:keepNext/>
        <w:widowControl/>
        <w:tabs>
          <w:tab w:val="left" w:pos="426"/>
          <w:tab w:val="left" w:pos="5529"/>
        </w:tabs>
        <w:overflowPunct/>
        <w:autoSpaceDE/>
        <w:autoSpaceDN/>
        <w:adjustRightInd/>
        <w:spacing w:before="160" w:line="276" w:lineRule="auto"/>
        <w:jc w:val="left"/>
        <w:textAlignment w:val="auto"/>
        <w:outlineLvl w:val="0"/>
        <w:rPr>
          <w:rFonts w:ascii="Arial" w:hAnsi="Arial" w:cs="Arial"/>
          <w:b/>
          <w:bCs/>
          <w:iCs/>
          <w:lang w:eastAsia="cs-CZ"/>
        </w:rPr>
      </w:pPr>
      <w:r w:rsidRPr="009D750F">
        <w:rPr>
          <w:rFonts w:ascii="Arial" w:hAnsi="Arial" w:cs="Arial"/>
          <w:b/>
          <w:bCs/>
          <w:iCs/>
          <w:lang w:eastAsia="cs-CZ"/>
        </w:rPr>
        <w:t>Štatistický úrad Slovenskej republiky</w:t>
      </w:r>
    </w:p>
    <w:p w14:paraId="2B085225"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Informačný servis</w:t>
      </w:r>
    </w:p>
    <w:p w14:paraId="79442922"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Lamačská cesta 3/C</w:t>
      </w:r>
    </w:p>
    <w:p w14:paraId="46EAF96F" w14:textId="7D9EE1BD"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 xml:space="preserve">840 </w:t>
      </w:r>
      <w:r w:rsidR="00627879">
        <w:rPr>
          <w:rFonts w:ascii="Arial" w:hAnsi="Arial" w:cs="Arial"/>
          <w:iCs/>
          <w:lang w:eastAsia="cs-CZ"/>
        </w:rPr>
        <w:t>0</w:t>
      </w:r>
      <w:r w:rsidR="00F000AB">
        <w:rPr>
          <w:rFonts w:ascii="Arial" w:hAnsi="Arial" w:cs="Arial"/>
          <w:iCs/>
          <w:lang w:eastAsia="cs-CZ"/>
        </w:rPr>
        <w:t>0</w:t>
      </w:r>
      <w:r w:rsidRPr="009D750F">
        <w:rPr>
          <w:rFonts w:ascii="Arial" w:hAnsi="Arial" w:cs="Arial"/>
          <w:iCs/>
          <w:lang w:eastAsia="cs-CZ"/>
        </w:rPr>
        <w:t xml:space="preserve"> Bratislava</w:t>
      </w:r>
    </w:p>
    <w:p w14:paraId="3F6FE95F"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tel. +421/2/50 23 63 35, +421/2/50 23 63 39</w:t>
      </w:r>
    </w:p>
    <w:p w14:paraId="4358B761"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 xml:space="preserve">e-mail: info@statistics.sk </w:t>
      </w:r>
    </w:p>
    <w:p w14:paraId="3D7FE439"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hyperlink r:id="rId9" w:history="1">
        <w:r w:rsidRPr="009D750F">
          <w:rPr>
            <w:rFonts w:ascii="Arial" w:hAnsi="Arial" w:cs="Arial"/>
            <w:iCs/>
            <w:lang w:eastAsia="cs-CZ"/>
          </w:rPr>
          <w:t>www.statistics.sk</w:t>
        </w:r>
      </w:hyperlink>
      <w:r w:rsidRPr="009D750F">
        <w:rPr>
          <w:rFonts w:ascii="Arial" w:hAnsi="Arial" w:cs="Arial"/>
          <w:iCs/>
          <w:lang w:eastAsia="cs-CZ"/>
        </w:rPr>
        <w:t xml:space="preserve"> </w:t>
      </w:r>
    </w:p>
    <w:p w14:paraId="6E632C55"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p>
    <w:p w14:paraId="6DA8999C"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p>
    <w:p w14:paraId="7819E2B0"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p>
    <w:p w14:paraId="141A853B" w14:textId="77777777" w:rsidR="00526FAB" w:rsidRPr="00BE3799" w:rsidRDefault="00526FAB" w:rsidP="00526FAB">
      <w:pPr>
        <w:widowControl/>
        <w:tabs>
          <w:tab w:val="left" w:pos="426"/>
        </w:tabs>
        <w:overflowPunct/>
        <w:autoSpaceDE/>
        <w:autoSpaceDN/>
        <w:adjustRightInd/>
        <w:spacing w:before="240"/>
        <w:textAlignment w:val="auto"/>
        <w:rPr>
          <w:rFonts w:ascii="Arial" w:hAnsi="Arial" w:cs="Arial"/>
          <w:szCs w:val="22"/>
          <w:lang w:eastAsia="cs-CZ"/>
        </w:rPr>
      </w:pPr>
      <w:r w:rsidRPr="00BE3799">
        <w:rPr>
          <w:rFonts w:ascii="Arial" w:hAnsi="Arial" w:cs="Arial"/>
          <w:noProof/>
          <w:szCs w:val="22"/>
        </w:rPr>
        <mc:AlternateContent>
          <mc:Choice Requires="wps">
            <w:drawing>
              <wp:anchor distT="0" distB="0" distL="114300" distR="114300" simplePos="0" relativeHeight="251660288" behindDoc="0" locked="0" layoutInCell="1" allowOverlap="1" wp14:anchorId="49900A71" wp14:editId="35ED6280">
                <wp:simplePos x="0" y="0"/>
                <wp:positionH relativeFrom="column">
                  <wp:posOffset>13970</wp:posOffset>
                </wp:positionH>
                <wp:positionV relativeFrom="paragraph">
                  <wp:posOffset>10160</wp:posOffset>
                </wp:positionV>
                <wp:extent cx="5800725" cy="0"/>
                <wp:effectExtent l="0" t="0" r="0" b="0"/>
                <wp:wrapNone/>
                <wp:docPr id="11" name="Rovná spojovacia šípka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straightConnector1">
                          <a:avLst/>
                        </a:prstGeom>
                        <a:noFill/>
                        <a:ln w="16510">
                          <a:solidFill>
                            <a:srgbClr val="888888"/>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C9696FD" id="_x0000_t32" coordsize="21600,21600" o:spt="32" o:oned="t" path="m,l21600,21600e" filled="f">
                <v:path arrowok="t" fillok="f" o:connecttype="none"/>
                <o:lock v:ext="edit" shapetype="t"/>
              </v:shapetype>
              <v:shape id="Rovná spojovacia šípka 11" o:spid="_x0000_s1026" type="#_x0000_t32" style="position:absolute;margin-left:1.1pt;margin-top:.8pt;width:456.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" strokecolor="#888" strokeweight="1.3pt">
                <v:stroke dashstyle="dash"/>
                <v:shadow color="#375623" opacity=".5" offset="1pt"/>
              </v:shape>
            </w:pict>
          </mc:Fallback>
        </mc:AlternateContent>
      </w:r>
      <w:r w:rsidRPr="00BE3799">
        <w:rPr>
          <w:rFonts w:ascii="Arial" w:hAnsi="Arial" w:cs="Arial"/>
          <w:szCs w:val="22"/>
          <w:lang w:eastAsia="cs-CZ"/>
        </w:rPr>
        <w:t>Rozmnožovanie obsahu tejto publikácie, ako aj jednotlivých častí, v pôvodnej alebo upravenej podobe pre komerčné účely, je možné len s písomným súhlasom Štatistického úradu SR. Údaje, ktoré sú obsahom tejto publikácie, je možné použiť len s uvedením zdroja.</w:t>
      </w:r>
    </w:p>
    <w:p w14:paraId="5875F5AF" w14:textId="77777777" w:rsidR="00526FAB" w:rsidRPr="009D750F" w:rsidRDefault="00526FAB" w:rsidP="00526FAB">
      <w:pPr>
        <w:widowControl/>
        <w:tabs>
          <w:tab w:val="left" w:pos="426"/>
        </w:tabs>
        <w:overflowPunct/>
        <w:autoSpaceDE/>
        <w:autoSpaceDN/>
        <w:adjustRightInd/>
        <w:textAlignment w:val="auto"/>
        <w:rPr>
          <w:rFonts w:ascii="Arial" w:hAnsi="Arial" w:cs="Arial"/>
          <w:lang w:eastAsia="cs-CZ"/>
        </w:rPr>
      </w:pPr>
    </w:p>
    <w:p w14:paraId="1C2E8635" w14:textId="77777777" w:rsidR="00526FAB" w:rsidRPr="009D750F" w:rsidRDefault="00526FAB" w:rsidP="00526FAB">
      <w:pPr>
        <w:tabs>
          <w:tab w:val="left" w:pos="426"/>
        </w:tabs>
        <w:rPr>
          <w:rFonts w:ascii="Arial" w:hAnsi="Arial" w:cs="Arial"/>
          <w:b/>
          <w:caps/>
          <w:sz w:val="26"/>
          <w:lang w:eastAsia="cs-CZ"/>
        </w:rPr>
      </w:pPr>
      <w:r w:rsidRPr="009D750F">
        <w:rPr>
          <w:rFonts w:ascii="Arial" w:hAnsi="Arial" w:cs="Arial"/>
          <w:b/>
        </w:rPr>
        <w:lastRenderedPageBreak/>
        <w:t>OBSAH</w:t>
      </w:r>
    </w:p>
    <w:p w14:paraId="3FDF54E7" w14:textId="77777777" w:rsidR="00526FAB" w:rsidRPr="009D750F" w:rsidRDefault="00526FAB" w:rsidP="00526FAB">
      <w:pPr>
        <w:widowControl/>
        <w:tabs>
          <w:tab w:val="left" w:pos="426"/>
        </w:tabs>
        <w:jc w:val="left"/>
        <w:rPr>
          <w:rFonts w:ascii="Arial" w:hAnsi="Arial" w:cs="Arial"/>
          <w:sz w:val="26"/>
          <w:lang w:eastAsia="cs-CZ"/>
        </w:rPr>
      </w:pPr>
    </w:p>
    <w:p w14:paraId="75C8FDDA" w14:textId="77777777" w:rsidR="00526FAB" w:rsidRPr="009D750F" w:rsidRDefault="00526FAB" w:rsidP="00526FAB">
      <w:pPr>
        <w:widowControl/>
        <w:tabs>
          <w:tab w:val="left" w:pos="426"/>
        </w:tabs>
        <w:jc w:val="left"/>
        <w:rPr>
          <w:rFonts w:ascii="Arial" w:hAnsi="Arial" w:cs="Arial"/>
          <w:sz w:val="26"/>
          <w:lang w:eastAsia="cs-CZ"/>
        </w:rPr>
      </w:pPr>
    </w:p>
    <w:tbl>
      <w:tblPr>
        <w:tblW w:w="9076" w:type="dxa"/>
        <w:tblInd w:w="-74" w:type="dxa"/>
        <w:tblLayout w:type="fixed"/>
        <w:tblCellMar>
          <w:left w:w="71" w:type="dxa"/>
          <w:right w:w="71" w:type="dxa"/>
        </w:tblCellMar>
        <w:tblLook w:val="0000" w:firstRow="0" w:lastRow="0" w:firstColumn="0" w:lastColumn="0" w:noHBand="0" w:noVBand="0"/>
      </w:tblPr>
      <w:tblGrid>
        <w:gridCol w:w="808"/>
        <w:gridCol w:w="188"/>
        <w:gridCol w:w="142"/>
        <w:gridCol w:w="7371"/>
        <w:gridCol w:w="567"/>
      </w:tblGrid>
      <w:tr w:rsidR="00526FAB" w:rsidRPr="00BE3799" w14:paraId="46194832" w14:textId="77777777" w:rsidTr="00526FAB">
        <w:trPr>
          <w:trHeight w:val="421"/>
        </w:trPr>
        <w:tc>
          <w:tcPr>
            <w:tcW w:w="8509" w:type="dxa"/>
            <w:gridSpan w:val="4"/>
            <w:tcBorders>
              <w:top w:val="nil"/>
              <w:left w:val="nil"/>
              <w:bottom w:val="nil"/>
              <w:right w:val="nil"/>
            </w:tcBorders>
          </w:tcPr>
          <w:p w14:paraId="3ABF8F87" w14:textId="1400D875" w:rsidR="00526FAB" w:rsidRPr="00BE3799" w:rsidRDefault="00526FAB" w:rsidP="00415D28">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štatistická správa o hospodár</w:t>
            </w:r>
            <w:r w:rsidRPr="00BE3799">
              <w:rPr>
                <w:rFonts w:ascii="Arial" w:hAnsi="Arial" w:cs="Arial"/>
                <w:b/>
                <w:caps/>
                <w:szCs w:val="22"/>
                <w:lang w:eastAsia="cs-CZ"/>
              </w:rPr>
              <w:softHyphen/>
              <w:t>stve SR v</w:t>
            </w:r>
            <w:r w:rsidR="00784EDC">
              <w:rPr>
                <w:rFonts w:ascii="Arial" w:hAnsi="Arial" w:cs="Arial"/>
                <w:b/>
                <w:caps/>
                <w:szCs w:val="22"/>
                <w:lang w:eastAsia="cs-CZ"/>
              </w:rPr>
              <w:t>O</w:t>
            </w:r>
            <w:r w:rsidR="00415D28">
              <w:rPr>
                <w:rFonts w:ascii="Arial" w:hAnsi="Arial" w:cs="Arial"/>
                <w:b/>
                <w:caps/>
                <w:szCs w:val="22"/>
                <w:lang w:eastAsia="cs-CZ"/>
              </w:rPr>
              <w:t xml:space="preserve"> </w:t>
            </w:r>
            <w:r w:rsidR="00784EDC">
              <w:rPr>
                <w:rFonts w:ascii="Arial" w:hAnsi="Arial" w:cs="Arial"/>
                <w:b/>
                <w:caps/>
                <w:szCs w:val="22"/>
                <w:lang w:eastAsia="cs-CZ"/>
              </w:rPr>
              <w:t>4</w:t>
            </w:r>
            <w:r w:rsidRPr="00BE3799">
              <w:rPr>
                <w:rFonts w:ascii="Arial" w:hAnsi="Arial" w:cs="Arial"/>
                <w:b/>
                <w:caps/>
                <w:szCs w:val="22"/>
                <w:lang w:eastAsia="cs-CZ"/>
              </w:rPr>
              <w:t>. štvrťroku 202</w:t>
            </w:r>
            <w:r w:rsidR="007263A0">
              <w:rPr>
                <w:rFonts w:ascii="Arial" w:hAnsi="Arial" w:cs="Arial"/>
                <w:b/>
                <w:caps/>
                <w:szCs w:val="22"/>
                <w:lang w:eastAsia="cs-CZ"/>
              </w:rPr>
              <w:t>5</w:t>
            </w:r>
          </w:p>
        </w:tc>
        <w:tc>
          <w:tcPr>
            <w:tcW w:w="567" w:type="dxa"/>
            <w:tcBorders>
              <w:top w:val="nil"/>
              <w:left w:val="nil"/>
              <w:bottom w:val="nil"/>
              <w:right w:val="nil"/>
            </w:tcBorders>
          </w:tcPr>
          <w:p w14:paraId="61F20748" w14:textId="77777777" w:rsidR="00526FAB" w:rsidRPr="00BE3799" w:rsidRDefault="00526FAB" w:rsidP="00526FAB">
            <w:pPr>
              <w:widowControl/>
              <w:tabs>
                <w:tab w:val="left" w:pos="426"/>
              </w:tabs>
              <w:jc w:val="right"/>
              <w:rPr>
                <w:rFonts w:ascii="Arial" w:hAnsi="Arial" w:cs="Arial"/>
                <w:szCs w:val="22"/>
                <w:lang w:eastAsia="cs-CZ"/>
              </w:rPr>
            </w:pPr>
          </w:p>
          <w:p w14:paraId="1D0E3BCF" w14:textId="77777777" w:rsidR="00526FAB" w:rsidRPr="00BE3799" w:rsidRDefault="00526FAB" w:rsidP="00526FAB">
            <w:pPr>
              <w:widowControl/>
              <w:tabs>
                <w:tab w:val="left" w:pos="426"/>
              </w:tabs>
              <w:jc w:val="right"/>
              <w:rPr>
                <w:rFonts w:ascii="Arial" w:hAnsi="Arial" w:cs="Arial"/>
                <w:szCs w:val="22"/>
                <w:lang w:eastAsia="cs-CZ"/>
              </w:rPr>
            </w:pPr>
          </w:p>
        </w:tc>
      </w:tr>
      <w:tr w:rsidR="00526FAB" w:rsidRPr="00BE3799" w14:paraId="3AA16C15" w14:textId="77777777" w:rsidTr="00526FAB">
        <w:trPr>
          <w:trHeight w:hRule="exact" w:val="80"/>
        </w:trPr>
        <w:tc>
          <w:tcPr>
            <w:tcW w:w="808" w:type="dxa"/>
            <w:tcBorders>
              <w:top w:val="nil"/>
              <w:left w:val="nil"/>
              <w:bottom w:val="nil"/>
              <w:right w:val="nil"/>
            </w:tcBorders>
          </w:tcPr>
          <w:p w14:paraId="52F37164"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6051F141" w14:textId="77777777" w:rsidR="00526FAB" w:rsidRPr="00BE3799" w:rsidRDefault="00526FAB" w:rsidP="00526FAB">
            <w:pPr>
              <w:widowControl/>
              <w:tabs>
                <w:tab w:val="left" w:pos="426"/>
              </w:tabs>
              <w:jc w:val="left"/>
              <w:rPr>
                <w:rFonts w:ascii="Arial" w:hAnsi="Arial" w:cs="Arial"/>
                <w:b/>
                <w:caps/>
                <w:szCs w:val="22"/>
                <w:lang w:eastAsia="cs-CZ"/>
              </w:rPr>
            </w:pPr>
          </w:p>
        </w:tc>
        <w:tc>
          <w:tcPr>
            <w:tcW w:w="567" w:type="dxa"/>
            <w:tcBorders>
              <w:top w:val="nil"/>
              <w:left w:val="nil"/>
              <w:bottom w:val="nil"/>
              <w:right w:val="nil"/>
            </w:tcBorders>
          </w:tcPr>
          <w:p w14:paraId="42A121FB" w14:textId="77777777" w:rsidR="00526FAB" w:rsidRPr="00BE3799" w:rsidRDefault="00526FAB" w:rsidP="00526FAB">
            <w:pPr>
              <w:widowControl/>
              <w:tabs>
                <w:tab w:val="left" w:pos="426"/>
              </w:tabs>
              <w:jc w:val="center"/>
              <w:rPr>
                <w:rFonts w:ascii="Arial" w:hAnsi="Arial" w:cs="Arial"/>
                <w:szCs w:val="22"/>
                <w:lang w:eastAsia="cs-CZ"/>
              </w:rPr>
            </w:pPr>
          </w:p>
        </w:tc>
      </w:tr>
      <w:tr w:rsidR="00526FAB" w:rsidRPr="00BE3799" w14:paraId="48F9447C" w14:textId="77777777" w:rsidTr="00526FAB">
        <w:trPr>
          <w:trHeight w:hRule="exact" w:val="284"/>
        </w:trPr>
        <w:tc>
          <w:tcPr>
            <w:tcW w:w="808" w:type="dxa"/>
            <w:tcBorders>
              <w:top w:val="nil"/>
              <w:left w:val="nil"/>
              <w:bottom w:val="nil"/>
              <w:right w:val="nil"/>
            </w:tcBorders>
          </w:tcPr>
          <w:p w14:paraId="5DBC298F"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1.</w:t>
            </w:r>
          </w:p>
        </w:tc>
        <w:tc>
          <w:tcPr>
            <w:tcW w:w="7701" w:type="dxa"/>
            <w:gridSpan w:val="3"/>
            <w:tcBorders>
              <w:top w:val="nil"/>
              <w:left w:val="nil"/>
              <w:bottom w:val="nil"/>
              <w:right w:val="nil"/>
            </w:tcBorders>
          </w:tcPr>
          <w:p w14:paraId="16933B2D"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základné makroekonomické tendencie</w:t>
            </w:r>
          </w:p>
        </w:tc>
        <w:tc>
          <w:tcPr>
            <w:tcW w:w="567" w:type="dxa"/>
            <w:tcBorders>
              <w:top w:val="nil"/>
              <w:left w:val="nil"/>
              <w:bottom w:val="nil"/>
              <w:right w:val="nil"/>
            </w:tcBorders>
          </w:tcPr>
          <w:p w14:paraId="2951FA3A" w14:textId="24C52819" w:rsidR="00526FAB" w:rsidRPr="00BE3799" w:rsidRDefault="003D335E" w:rsidP="00526FAB">
            <w:pPr>
              <w:widowControl/>
              <w:tabs>
                <w:tab w:val="left" w:pos="426"/>
              </w:tabs>
              <w:jc w:val="right"/>
              <w:rPr>
                <w:rFonts w:ascii="Arial" w:hAnsi="Arial" w:cs="Arial"/>
                <w:bCs/>
                <w:szCs w:val="22"/>
                <w:lang w:eastAsia="cs-CZ"/>
              </w:rPr>
            </w:pPr>
            <w:r>
              <w:rPr>
                <w:rFonts w:ascii="Arial" w:hAnsi="Arial" w:cs="Arial"/>
                <w:bCs/>
                <w:szCs w:val="22"/>
                <w:lang w:eastAsia="cs-CZ"/>
              </w:rPr>
              <w:t>9</w:t>
            </w:r>
          </w:p>
        </w:tc>
      </w:tr>
      <w:tr w:rsidR="00526FAB" w:rsidRPr="00BE3799" w14:paraId="0118A5A2" w14:textId="77777777" w:rsidTr="00526FAB">
        <w:trPr>
          <w:trHeight w:hRule="exact" w:val="170"/>
        </w:trPr>
        <w:tc>
          <w:tcPr>
            <w:tcW w:w="808" w:type="dxa"/>
            <w:tcBorders>
              <w:top w:val="nil"/>
              <w:left w:val="nil"/>
              <w:bottom w:val="nil"/>
              <w:right w:val="nil"/>
            </w:tcBorders>
          </w:tcPr>
          <w:p w14:paraId="1DC5127B"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2C62AC76" w14:textId="77777777" w:rsidR="00526FAB" w:rsidRPr="00BE3799" w:rsidRDefault="00526FAB" w:rsidP="00526FAB">
            <w:pPr>
              <w:widowControl/>
              <w:tabs>
                <w:tab w:val="left" w:pos="426"/>
              </w:tabs>
              <w:jc w:val="left"/>
              <w:rPr>
                <w:rFonts w:ascii="Arial" w:hAnsi="Arial" w:cs="Arial"/>
                <w:b/>
                <w:caps/>
                <w:szCs w:val="22"/>
                <w:lang w:eastAsia="cs-CZ"/>
              </w:rPr>
            </w:pPr>
          </w:p>
        </w:tc>
        <w:tc>
          <w:tcPr>
            <w:tcW w:w="567" w:type="dxa"/>
            <w:tcBorders>
              <w:top w:val="nil"/>
              <w:left w:val="nil"/>
              <w:bottom w:val="nil"/>
              <w:right w:val="nil"/>
            </w:tcBorders>
          </w:tcPr>
          <w:p w14:paraId="607EF20C" w14:textId="77777777" w:rsidR="00526FAB" w:rsidRPr="00BE3799" w:rsidRDefault="00526FAB" w:rsidP="00526FAB">
            <w:pPr>
              <w:widowControl/>
              <w:tabs>
                <w:tab w:val="left" w:pos="426"/>
              </w:tabs>
              <w:jc w:val="right"/>
              <w:rPr>
                <w:rFonts w:ascii="Arial" w:hAnsi="Arial" w:cs="Arial"/>
                <w:szCs w:val="22"/>
                <w:lang w:eastAsia="cs-CZ"/>
              </w:rPr>
            </w:pPr>
          </w:p>
        </w:tc>
      </w:tr>
      <w:tr w:rsidR="00526FAB" w:rsidRPr="00BE3799" w14:paraId="622025CA" w14:textId="77777777" w:rsidTr="00526FAB">
        <w:trPr>
          <w:trHeight w:hRule="exact" w:val="284"/>
        </w:trPr>
        <w:tc>
          <w:tcPr>
            <w:tcW w:w="808" w:type="dxa"/>
            <w:tcBorders>
              <w:top w:val="nil"/>
              <w:left w:val="nil"/>
              <w:bottom w:val="nil"/>
              <w:right w:val="nil"/>
            </w:tcBorders>
          </w:tcPr>
          <w:p w14:paraId="2996E137"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 xml:space="preserve">2. </w:t>
            </w:r>
          </w:p>
        </w:tc>
        <w:tc>
          <w:tcPr>
            <w:tcW w:w="7701" w:type="dxa"/>
            <w:gridSpan w:val="3"/>
            <w:tcBorders>
              <w:top w:val="nil"/>
              <w:left w:val="nil"/>
              <w:bottom w:val="nil"/>
              <w:right w:val="nil"/>
            </w:tcBorders>
          </w:tcPr>
          <w:p w14:paraId="1C4AB8A6"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hrubý domáci produkt</w:t>
            </w:r>
          </w:p>
        </w:tc>
        <w:tc>
          <w:tcPr>
            <w:tcW w:w="567" w:type="dxa"/>
            <w:tcBorders>
              <w:top w:val="nil"/>
              <w:left w:val="nil"/>
              <w:bottom w:val="nil"/>
              <w:right w:val="nil"/>
            </w:tcBorders>
          </w:tcPr>
          <w:p w14:paraId="799A8A16" w14:textId="5EFD6132" w:rsidR="00526FAB" w:rsidRPr="00BE3799" w:rsidRDefault="00526FAB" w:rsidP="00526FAB">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3D335E">
              <w:rPr>
                <w:rFonts w:ascii="Arial" w:hAnsi="Arial" w:cs="Arial"/>
                <w:szCs w:val="22"/>
                <w:lang w:eastAsia="cs-CZ"/>
              </w:rPr>
              <w:t>1</w:t>
            </w:r>
          </w:p>
          <w:p w14:paraId="38B06504" w14:textId="77777777" w:rsidR="00526FAB" w:rsidRPr="00BE3799" w:rsidRDefault="00526FAB" w:rsidP="00526FAB">
            <w:pPr>
              <w:widowControl/>
              <w:tabs>
                <w:tab w:val="left" w:pos="426"/>
              </w:tabs>
              <w:jc w:val="center"/>
              <w:rPr>
                <w:rFonts w:ascii="Arial" w:hAnsi="Arial" w:cs="Arial"/>
                <w:szCs w:val="22"/>
                <w:lang w:eastAsia="cs-CZ"/>
              </w:rPr>
            </w:pPr>
            <w:r w:rsidRPr="00BE3799">
              <w:rPr>
                <w:rFonts w:ascii="Arial" w:hAnsi="Arial" w:cs="Arial"/>
                <w:szCs w:val="22"/>
                <w:lang w:eastAsia="cs-CZ"/>
              </w:rPr>
              <w:t>1</w:t>
            </w:r>
          </w:p>
        </w:tc>
      </w:tr>
      <w:tr w:rsidR="00526FAB" w:rsidRPr="00BE3799" w14:paraId="2DBBDC92" w14:textId="77777777" w:rsidTr="00526FAB">
        <w:trPr>
          <w:cantSplit/>
          <w:trHeight w:hRule="exact" w:val="284"/>
        </w:trPr>
        <w:tc>
          <w:tcPr>
            <w:tcW w:w="808" w:type="dxa"/>
            <w:tcBorders>
              <w:top w:val="nil"/>
              <w:left w:val="nil"/>
              <w:bottom w:val="nil"/>
              <w:right w:val="nil"/>
            </w:tcBorders>
          </w:tcPr>
          <w:p w14:paraId="0656A056"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2.1</w:t>
            </w:r>
          </w:p>
        </w:tc>
        <w:tc>
          <w:tcPr>
            <w:tcW w:w="188" w:type="dxa"/>
            <w:tcBorders>
              <w:top w:val="nil"/>
              <w:left w:val="nil"/>
              <w:bottom w:val="nil"/>
              <w:right w:val="nil"/>
            </w:tcBorders>
          </w:tcPr>
          <w:p w14:paraId="4451B093"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0CEFCD20"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Výrobná metóda</w:t>
            </w:r>
          </w:p>
        </w:tc>
        <w:tc>
          <w:tcPr>
            <w:tcW w:w="567" w:type="dxa"/>
            <w:tcBorders>
              <w:top w:val="nil"/>
              <w:left w:val="nil"/>
              <w:bottom w:val="nil"/>
              <w:right w:val="nil"/>
            </w:tcBorders>
          </w:tcPr>
          <w:p w14:paraId="669CF04E" w14:textId="2BC33D03" w:rsidR="00526FAB" w:rsidRPr="00BE3799" w:rsidRDefault="00526FAB" w:rsidP="003D335E">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3D335E">
              <w:rPr>
                <w:rFonts w:ascii="Arial" w:hAnsi="Arial" w:cs="Arial"/>
                <w:szCs w:val="22"/>
                <w:lang w:eastAsia="cs-CZ"/>
              </w:rPr>
              <w:t>1</w:t>
            </w:r>
          </w:p>
        </w:tc>
      </w:tr>
      <w:tr w:rsidR="00526FAB" w:rsidRPr="00BE3799" w14:paraId="57D052B8" w14:textId="77777777" w:rsidTr="00526FAB">
        <w:trPr>
          <w:cantSplit/>
          <w:trHeight w:hRule="exact" w:val="284"/>
        </w:trPr>
        <w:tc>
          <w:tcPr>
            <w:tcW w:w="808" w:type="dxa"/>
            <w:tcBorders>
              <w:top w:val="nil"/>
              <w:left w:val="nil"/>
              <w:bottom w:val="nil"/>
              <w:right w:val="nil"/>
            </w:tcBorders>
          </w:tcPr>
          <w:p w14:paraId="1B0986A9"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2.2</w:t>
            </w:r>
          </w:p>
        </w:tc>
        <w:tc>
          <w:tcPr>
            <w:tcW w:w="188" w:type="dxa"/>
            <w:tcBorders>
              <w:top w:val="nil"/>
              <w:left w:val="nil"/>
              <w:bottom w:val="nil"/>
              <w:right w:val="nil"/>
            </w:tcBorders>
          </w:tcPr>
          <w:p w14:paraId="577FCF05"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5D35D38C" w14:textId="77777777" w:rsidR="00526FAB" w:rsidRPr="00BE3799" w:rsidRDefault="00526FAB" w:rsidP="00526FAB">
            <w:pPr>
              <w:widowControl/>
              <w:tabs>
                <w:tab w:val="left" w:pos="426"/>
              </w:tabs>
              <w:jc w:val="left"/>
              <w:rPr>
                <w:rFonts w:ascii="Arial" w:hAnsi="Arial" w:cs="Arial"/>
                <w:b/>
                <w:bCs/>
                <w:szCs w:val="22"/>
                <w:lang w:eastAsia="cs-CZ"/>
              </w:rPr>
            </w:pPr>
            <w:r w:rsidRPr="00BE3799">
              <w:rPr>
                <w:rFonts w:ascii="Arial" w:hAnsi="Arial" w:cs="Arial"/>
                <w:b/>
                <w:bCs/>
                <w:szCs w:val="22"/>
                <w:lang w:eastAsia="cs-CZ"/>
              </w:rPr>
              <w:t>Výdavková metóda</w:t>
            </w:r>
          </w:p>
        </w:tc>
        <w:tc>
          <w:tcPr>
            <w:tcW w:w="567" w:type="dxa"/>
            <w:tcBorders>
              <w:top w:val="nil"/>
              <w:left w:val="nil"/>
              <w:bottom w:val="nil"/>
              <w:right w:val="nil"/>
            </w:tcBorders>
          </w:tcPr>
          <w:p w14:paraId="75018ECD" w14:textId="1F47CF7C" w:rsidR="00526FAB" w:rsidRPr="00BE3799" w:rsidRDefault="00526FAB" w:rsidP="003D335E">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3D335E">
              <w:rPr>
                <w:rFonts w:ascii="Arial" w:hAnsi="Arial" w:cs="Arial"/>
                <w:szCs w:val="22"/>
                <w:lang w:eastAsia="cs-CZ"/>
              </w:rPr>
              <w:t>2</w:t>
            </w:r>
          </w:p>
        </w:tc>
      </w:tr>
      <w:tr w:rsidR="00526FAB" w:rsidRPr="00BE3799" w14:paraId="55C4CB7B" w14:textId="77777777" w:rsidTr="00526FAB">
        <w:trPr>
          <w:cantSplit/>
          <w:trHeight w:val="170"/>
        </w:trPr>
        <w:tc>
          <w:tcPr>
            <w:tcW w:w="808" w:type="dxa"/>
            <w:tcBorders>
              <w:top w:val="nil"/>
              <w:left w:val="nil"/>
              <w:bottom w:val="nil"/>
              <w:right w:val="nil"/>
            </w:tcBorders>
          </w:tcPr>
          <w:p w14:paraId="6E024D9C"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696841AC"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5FAC41D1"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Konečná spotreba domácností</w:t>
            </w:r>
          </w:p>
        </w:tc>
        <w:tc>
          <w:tcPr>
            <w:tcW w:w="567" w:type="dxa"/>
            <w:tcBorders>
              <w:top w:val="nil"/>
              <w:left w:val="nil"/>
              <w:bottom w:val="nil"/>
              <w:right w:val="nil"/>
            </w:tcBorders>
          </w:tcPr>
          <w:p w14:paraId="6E65E310" w14:textId="57851F0A"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1257C6">
              <w:rPr>
                <w:rFonts w:ascii="Arial" w:hAnsi="Arial" w:cs="Arial"/>
                <w:szCs w:val="22"/>
                <w:lang w:eastAsia="cs-CZ"/>
              </w:rPr>
              <w:t>3</w:t>
            </w:r>
          </w:p>
        </w:tc>
      </w:tr>
      <w:tr w:rsidR="00526FAB" w:rsidRPr="00BE3799" w14:paraId="6CCB30F8" w14:textId="77777777" w:rsidTr="00526FAB">
        <w:trPr>
          <w:cantSplit/>
          <w:trHeight w:val="170"/>
        </w:trPr>
        <w:tc>
          <w:tcPr>
            <w:tcW w:w="808" w:type="dxa"/>
            <w:tcBorders>
              <w:top w:val="nil"/>
              <w:left w:val="nil"/>
              <w:bottom w:val="nil"/>
              <w:right w:val="nil"/>
            </w:tcBorders>
          </w:tcPr>
          <w:p w14:paraId="79BF1275"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32341E79"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1481C720"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Konečná spotreba verejnej správy</w:t>
            </w:r>
          </w:p>
        </w:tc>
        <w:tc>
          <w:tcPr>
            <w:tcW w:w="567" w:type="dxa"/>
            <w:tcBorders>
              <w:top w:val="nil"/>
              <w:left w:val="nil"/>
              <w:bottom w:val="nil"/>
              <w:right w:val="nil"/>
            </w:tcBorders>
          </w:tcPr>
          <w:p w14:paraId="51C0CED2" w14:textId="5A9B3BB4" w:rsidR="00526FAB" w:rsidRPr="00BE3799" w:rsidRDefault="00526FAB" w:rsidP="00656738">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656738">
              <w:rPr>
                <w:rFonts w:ascii="Arial" w:hAnsi="Arial" w:cs="Arial"/>
                <w:szCs w:val="22"/>
                <w:lang w:eastAsia="cs-CZ"/>
              </w:rPr>
              <w:t>3</w:t>
            </w:r>
          </w:p>
        </w:tc>
      </w:tr>
      <w:tr w:rsidR="00526FAB" w:rsidRPr="00BE3799" w14:paraId="4D792E84" w14:textId="77777777" w:rsidTr="00526FAB">
        <w:trPr>
          <w:cantSplit/>
          <w:trHeight w:val="170"/>
        </w:trPr>
        <w:tc>
          <w:tcPr>
            <w:tcW w:w="808" w:type="dxa"/>
            <w:tcBorders>
              <w:top w:val="nil"/>
              <w:left w:val="nil"/>
              <w:bottom w:val="nil"/>
              <w:right w:val="nil"/>
            </w:tcBorders>
          </w:tcPr>
          <w:p w14:paraId="4A227C66"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280B3AE2"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51DEC42C"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Tvorba hrubého kapitálu</w:t>
            </w:r>
          </w:p>
        </w:tc>
        <w:tc>
          <w:tcPr>
            <w:tcW w:w="567" w:type="dxa"/>
            <w:tcBorders>
              <w:top w:val="nil"/>
              <w:left w:val="nil"/>
              <w:bottom w:val="nil"/>
              <w:right w:val="nil"/>
            </w:tcBorders>
          </w:tcPr>
          <w:p w14:paraId="6A189E2E" w14:textId="6A653E3D" w:rsidR="00526FAB" w:rsidRPr="00BE3799" w:rsidRDefault="00526FAB" w:rsidP="0042201D">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86682D">
              <w:rPr>
                <w:rFonts w:ascii="Arial" w:hAnsi="Arial" w:cs="Arial"/>
                <w:szCs w:val="22"/>
                <w:lang w:eastAsia="cs-CZ"/>
              </w:rPr>
              <w:t>4</w:t>
            </w:r>
          </w:p>
        </w:tc>
      </w:tr>
      <w:tr w:rsidR="00526FAB" w:rsidRPr="00BE3799" w14:paraId="4F511A19" w14:textId="77777777" w:rsidTr="00526FAB">
        <w:trPr>
          <w:cantSplit/>
          <w:trHeight w:val="218"/>
        </w:trPr>
        <w:tc>
          <w:tcPr>
            <w:tcW w:w="808" w:type="dxa"/>
            <w:tcBorders>
              <w:top w:val="nil"/>
              <w:left w:val="nil"/>
              <w:bottom w:val="nil"/>
              <w:right w:val="nil"/>
            </w:tcBorders>
          </w:tcPr>
          <w:p w14:paraId="3CFA55B2"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6AB65C09"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70F5C552"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Výstavba bytov</w:t>
            </w:r>
          </w:p>
        </w:tc>
        <w:tc>
          <w:tcPr>
            <w:tcW w:w="567" w:type="dxa"/>
            <w:tcBorders>
              <w:top w:val="nil"/>
              <w:left w:val="nil"/>
              <w:bottom w:val="nil"/>
              <w:right w:val="nil"/>
            </w:tcBorders>
          </w:tcPr>
          <w:p w14:paraId="1F9FC4E4" w14:textId="44C31EF1" w:rsidR="00526FAB" w:rsidRPr="00BE3799" w:rsidRDefault="005F30F2" w:rsidP="00526FAB">
            <w:pPr>
              <w:widowControl/>
              <w:tabs>
                <w:tab w:val="left" w:pos="426"/>
              </w:tabs>
              <w:jc w:val="right"/>
              <w:rPr>
                <w:rFonts w:ascii="Arial" w:hAnsi="Arial" w:cs="Arial"/>
                <w:szCs w:val="22"/>
                <w:lang w:eastAsia="cs-CZ"/>
              </w:rPr>
            </w:pPr>
            <w:r>
              <w:rPr>
                <w:rFonts w:ascii="Arial" w:hAnsi="Arial" w:cs="Arial"/>
                <w:szCs w:val="22"/>
                <w:lang w:eastAsia="cs-CZ"/>
              </w:rPr>
              <w:t>1</w:t>
            </w:r>
            <w:r w:rsidR="0086682D">
              <w:rPr>
                <w:rFonts w:ascii="Arial" w:hAnsi="Arial" w:cs="Arial"/>
                <w:szCs w:val="22"/>
                <w:lang w:eastAsia="cs-CZ"/>
              </w:rPr>
              <w:t>6</w:t>
            </w:r>
          </w:p>
        </w:tc>
      </w:tr>
      <w:tr w:rsidR="00526FAB" w:rsidRPr="00BE3799" w14:paraId="6BB3A73F" w14:textId="77777777" w:rsidTr="00526FAB">
        <w:trPr>
          <w:cantSplit/>
          <w:trHeight w:val="360"/>
        </w:trPr>
        <w:tc>
          <w:tcPr>
            <w:tcW w:w="808" w:type="dxa"/>
            <w:tcBorders>
              <w:top w:val="nil"/>
              <w:left w:val="nil"/>
              <w:bottom w:val="nil"/>
              <w:right w:val="nil"/>
            </w:tcBorders>
          </w:tcPr>
          <w:p w14:paraId="7562FE8E"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71CC86BE"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4E5A1C49"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Dovoz a vývoz výrobkov a služieb</w:t>
            </w:r>
          </w:p>
        </w:tc>
        <w:tc>
          <w:tcPr>
            <w:tcW w:w="567" w:type="dxa"/>
            <w:tcBorders>
              <w:top w:val="nil"/>
              <w:left w:val="nil"/>
              <w:bottom w:val="nil"/>
              <w:right w:val="nil"/>
            </w:tcBorders>
          </w:tcPr>
          <w:p w14:paraId="71FC00B2" w14:textId="2A86B26B"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86682D">
              <w:rPr>
                <w:rFonts w:ascii="Arial" w:hAnsi="Arial" w:cs="Arial"/>
                <w:szCs w:val="22"/>
                <w:lang w:eastAsia="cs-CZ"/>
              </w:rPr>
              <w:t>7</w:t>
            </w:r>
          </w:p>
        </w:tc>
      </w:tr>
      <w:tr w:rsidR="00526FAB" w:rsidRPr="00BE3799" w14:paraId="2FE0BCC0" w14:textId="77777777" w:rsidTr="00526FAB">
        <w:trPr>
          <w:cantSplit/>
          <w:trHeight w:hRule="exact" w:val="284"/>
        </w:trPr>
        <w:tc>
          <w:tcPr>
            <w:tcW w:w="808" w:type="dxa"/>
            <w:tcBorders>
              <w:top w:val="nil"/>
              <w:left w:val="nil"/>
              <w:bottom w:val="nil"/>
              <w:right w:val="nil"/>
            </w:tcBorders>
          </w:tcPr>
          <w:p w14:paraId="6623FC05"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2.3</w:t>
            </w:r>
          </w:p>
        </w:tc>
        <w:tc>
          <w:tcPr>
            <w:tcW w:w="188" w:type="dxa"/>
            <w:tcBorders>
              <w:top w:val="nil"/>
              <w:left w:val="nil"/>
              <w:bottom w:val="nil"/>
              <w:right w:val="nil"/>
            </w:tcBorders>
          </w:tcPr>
          <w:p w14:paraId="0D882775"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3B5E6C9A"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szCs w:val="22"/>
                <w:lang w:eastAsia="cs-CZ"/>
              </w:rPr>
              <w:t>Dôchodková metóda</w:t>
            </w:r>
          </w:p>
        </w:tc>
        <w:tc>
          <w:tcPr>
            <w:tcW w:w="567" w:type="dxa"/>
            <w:tcBorders>
              <w:top w:val="nil"/>
              <w:left w:val="nil"/>
              <w:bottom w:val="nil"/>
              <w:right w:val="nil"/>
            </w:tcBorders>
          </w:tcPr>
          <w:p w14:paraId="30791328" w14:textId="5FFF4391" w:rsidR="00526FAB" w:rsidRPr="00BE3799" w:rsidRDefault="005F30F2" w:rsidP="00F35B71">
            <w:pPr>
              <w:widowControl/>
              <w:tabs>
                <w:tab w:val="left" w:pos="426"/>
              </w:tabs>
              <w:jc w:val="right"/>
              <w:rPr>
                <w:rFonts w:ascii="Arial" w:hAnsi="Arial" w:cs="Arial"/>
                <w:szCs w:val="22"/>
                <w:lang w:eastAsia="cs-CZ"/>
              </w:rPr>
            </w:pPr>
            <w:r>
              <w:rPr>
                <w:rFonts w:ascii="Arial" w:hAnsi="Arial" w:cs="Arial"/>
                <w:szCs w:val="22"/>
                <w:lang w:eastAsia="cs-CZ"/>
              </w:rPr>
              <w:t>1</w:t>
            </w:r>
            <w:r w:rsidR="0086682D">
              <w:rPr>
                <w:rFonts w:ascii="Arial" w:hAnsi="Arial" w:cs="Arial"/>
                <w:szCs w:val="22"/>
                <w:lang w:eastAsia="cs-CZ"/>
              </w:rPr>
              <w:t>7</w:t>
            </w:r>
          </w:p>
        </w:tc>
      </w:tr>
      <w:tr w:rsidR="00526FAB" w:rsidRPr="00BE3799" w14:paraId="088DBE3B" w14:textId="77777777" w:rsidTr="00526FAB">
        <w:trPr>
          <w:cantSplit/>
          <w:trHeight w:hRule="exact" w:val="284"/>
        </w:trPr>
        <w:tc>
          <w:tcPr>
            <w:tcW w:w="808" w:type="dxa"/>
            <w:tcBorders>
              <w:top w:val="nil"/>
              <w:left w:val="nil"/>
              <w:bottom w:val="nil"/>
              <w:right w:val="nil"/>
            </w:tcBorders>
          </w:tcPr>
          <w:p w14:paraId="5BB5D5B5"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2.4</w:t>
            </w:r>
          </w:p>
        </w:tc>
        <w:tc>
          <w:tcPr>
            <w:tcW w:w="188" w:type="dxa"/>
            <w:tcBorders>
              <w:top w:val="nil"/>
              <w:left w:val="nil"/>
              <w:bottom w:val="nil"/>
              <w:right w:val="nil"/>
            </w:tcBorders>
          </w:tcPr>
          <w:p w14:paraId="69D4774A"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16F1395D" w14:textId="672A5B73"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rPr>
              <w:t>Vybrané makroekonomické ukazovatele</w:t>
            </w:r>
            <w:r w:rsidR="00DD479B">
              <w:rPr>
                <w:rFonts w:ascii="Arial" w:hAnsi="Arial" w:cs="Arial"/>
                <w:b/>
                <w:szCs w:val="22"/>
              </w:rPr>
              <w:t xml:space="preserve"> </w:t>
            </w:r>
          </w:p>
        </w:tc>
        <w:tc>
          <w:tcPr>
            <w:tcW w:w="567" w:type="dxa"/>
            <w:tcBorders>
              <w:top w:val="nil"/>
              <w:left w:val="nil"/>
              <w:bottom w:val="nil"/>
              <w:right w:val="nil"/>
            </w:tcBorders>
          </w:tcPr>
          <w:p w14:paraId="3F325258" w14:textId="6A14F26A"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86682D">
              <w:rPr>
                <w:rFonts w:ascii="Arial" w:hAnsi="Arial" w:cs="Arial"/>
                <w:szCs w:val="22"/>
                <w:lang w:eastAsia="cs-CZ"/>
              </w:rPr>
              <w:t>7</w:t>
            </w:r>
          </w:p>
        </w:tc>
      </w:tr>
      <w:tr w:rsidR="00526FAB" w:rsidRPr="00BE3799" w14:paraId="02DBCA97" w14:textId="77777777" w:rsidTr="00526FAB">
        <w:trPr>
          <w:cantSplit/>
          <w:trHeight w:val="170"/>
        </w:trPr>
        <w:tc>
          <w:tcPr>
            <w:tcW w:w="808" w:type="dxa"/>
            <w:tcBorders>
              <w:top w:val="nil"/>
              <w:left w:val="nil"/>
              <w:bottom w:val="nil"/>
              <w:right w:val="nil"/>
            </w:tcBorders>
          </w:tcPr>
          <w:p w14:paraId="40C7A31E"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45C98CE4"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602EDC3F"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Sektor domácností</w:t>
            </w:r>
          </w:p>
        </w:tc>
        <w:tc>
          <w:tcPr>
            <w:tcW w:w="567" w:type="dxa"/>
            <w:tcBorders>
              <w:top w:val="nil"/>
              <w:left w:val="nil"/>
              <w:bottom w:val="nil"/>
              <w:right w:val="nil"/>
            </w:tcBorders>
          </w:tcPr>
          <w:p w14:paraId="00C4396D" w14:textId="0C56FEEA" w:rsidR="00526FAB" w:rsidRPr="00BE3799" w:rsidRDefault="005F30F2" w:rsidP="00F35B71">
            <w:pPr>
              <w:widowControl/>
              <w:tabs>
                <w:tab w:val="left" w:pos="426"/>
              </w:tabs>
              <w:jc w:val="right"/>
              <w:rPr>
                <w:rFonts w:ascii="Arial" w:hAnsi="Arial" w:cs="Arial"/>
                <w:szCs w:val="22"/>
                <w:lang w:eastAsia="cs-CZ"/>
              </w:rPr>
            </w:pPr>
            <w:r>
              <w:rPr>
                <w:rFonts w:ascii="Arial" w:hAnsi="Arial" w:cs="Arial"/>
                <w:szCs w:val="22"/>
                <w:lang w:eastAsia="cs-CZ"/>
              </w:rPr>
              <w:t>1</w:t>
            </w:r>
            <w:r w:rsidR="0086682D">
              <w:rPr>
                <w:rFonts w:ascii="Arial" w:hAnsi="Arial" w:cs="Arial"/>
                <w:szCs w:val="22"/>
                <w:lang w:eastAsia="cs-CZ"/>
              </w:rPr>
              <w:t>7</w:t>
            </w:r>
          </w:p>
        </w:tc>
      </w:tr>
      <w:tr w:rsidR="00526FAB" w:rsidRPr="00BE3799" w14:paraId="53F4D59B" w14:textId="77777777" w:rsidTr="00526FAB">
        <w:trPr>
          <w:cantSplit/>
          <w:trHeight w:val="170"/>
        </w:trPr>
        <w:tc>
          <w:tcPr>
            <w:tcW w:w="808" w:type="dxa"/>
            <w:tcBorders>
              <w:top w:val="nil"/>
              <w:left w:val="nil"/>
              <w:bottom w:val="nil"/>
              <w:right w:val="nil"/>
            </w:tcBorders>
          </w:tcPr>
          <w:p w14:paraId="44F7BAFA"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6ECCF007"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47214104"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Vonkajšie obchodné vzťahy</w:t>
            </w:r>
          </w:p>
        </w:tc>
        <w:tc>
          <w:tcPr>
            <w:tcW w:w="567" w:type="dxa"/>
            <w:tcBorders>
              <w:top w:val="nil"/>
              <w:left w:val="nil"/>
              <w:bottom w:val="nil"/>
              <w:right w:val="nil"/>
            </w:tcBorders>
          </w:tcPr>
          <w:p w14:paraId="61C815AF" w14:textId="7FB279B7" w:rsidR="00526FAB" w:rsidRPr="00BE3799" w:rsidRDefault="005F30F2" w:rsidP="00F35B71">
            <w:pPr>
              <w:widowControl/>
              <w:tabs>
                <w:tab w:val="left" w:pos="426"/>
              </w:tabs>
              <w:jc w:val="right"/>
              <w:rPr>
                <w:rFonts w:ascii="Arial" w:hAnsi="Arial" w:cs="Arial"/>
                <w:szCs w:val="22"/>
                <w:lang w:eastAsia="cs-CZ"/>
              </w:rPr>
            </w:pPr>
            <w:r>
              <w:rPr>
                <w:rFonts w:ascii="Arial" w:hAnsi="Arial" w:cs="Arial"/>
                <w:szCs w:val="22"/>
                <w:lang w:eastAsia="cs-CZ"/>
              </w:rPr>
              <w:t>1</w:t>
            </w:r>
            <w:r w:rsidR="0086682D">
              <w:rPr>
                <w:rFonts w:ascii="Arial" w:hAnsi="Arial" w:cs="Arial"/>
                <w:szCs w:val="22"/>
                <w:lang w:eastAsia="cs-CZ"/>
              </w:rPr>
              <w:t>7</w:t>
            </w:r>
          </w:p>
        </w:tc>
      </w:tr>
      <w:tr w:rsidR="00526FAB" w:rsidRPr="00BE3799" w14:paraId="4A46EFC7" w14:textId="77777777" w:rsidTr="00526FAB">
        <w:trPr>
          <w:trHeight w:hRule="exact" w:val="170"/>
        </w:trPr>
        <w:tc>
          <w:tcPr>
            <w:tcW w:w="808" w:type="dxa"/>
            <w:tcBorders>
              <w:top w:val="nil"/>
              <w:left w:val="nil"/>
              <w:bottom w:val="nil"/>
              <w:right w:val="nil"/>
            </w:tcBorders>
          </w:tcPr>
          <w:p w14:paraId="72B37EE3"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6B17B3A9" w14:textId="77777777" w:rsidR="00526FAB" w:rsidRPr="00BE3799" w:rsidRDefault="00526FAB" w:rsidP="00526FAB">
            <w:pPr>
              <w:widowControl/>
              <w:tabs>
                <w:tab w:val="left" w:pos="426"/>
              </w:tabs>
              <w:jc w:val="left"/>
              <w:rPr>
                <w:rFonts w:ascii="Arial" w:hAnsi="Arial" w:cs="Arial"/>
                <w:b/>
                <w:caps/>
                <w:szCs w:val="22"/>
                <w:lang w:eastAsia="cs-CZ"/>
              </w:rPr>
            </w:pPr>
          </w:p>
        </w:tc>
        <w:tc>
          <w:tcPr>
            <w:tcW w:w="567" w:type="dxa"/>
            <w:tcBorders>
              <w:top w:val="nil"/>
              <w:left w:val="nil"/>
              <w:bottom w:val="nil"/>
              <w:right w:val="nil"/>
            </w:tcBorders>
          </w:tcPr>
          <w:p w14:paraId="07545B80" w14:textId="77777777" w:rsidR="00526FAB" w:rsidRPr="00BE3799" w:rsidRDefault="00526FAB" w:rsidP="00526FAB">
            <w:pPr>
              <w:widowControl/>
              <w:tabs>
                <w:tab w:val="left" w:pos="426"/>
              </w:tabs>
              <w:jc w:val="right"/>
              <w:rPr>
                <w:rFonts w:ascii="Arial" w:hAnsi="Arial" w:cs="Arial"/>
                <w:szCs w:val="22"/>
                <w:lang w:eastAsia="cs-CZ"/>
              </w:rPr>
            </w:pPr>
          </w:p>
        </w:tc>
      </w:tr>
      <w:tr w:rsidR="00526FAB" w:rsidRPr="00BE3799" w14:paraId="71662AE5" w14:textId="77777777" w:rsidTr="00526FAB">
        <w:trPr>
          <w:trHeight w:hRule="exact" w:val="284"/>
        </w:trPr>
        <w:tc>
          <w:tcPr>
            <w:tcW w:w="808" w:type="dxa"/>
            <w:tcBorders>
              <w:top w:val="nil"/>
              <w:left w:val="nil"/>
              <w:bottom w:val="nil"/>
              <w:right w:val="nil"/>
            </w:tcBorders>
          </w:tcPr>
          <w:p w14:paraId="1E697A90"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w:t>
            </w:r>
          </w:p>
        </w:tc>
        <w:tc>
          <w:tcPr>
            <w:tcW w:w="7701" w:type="dxa"/>
            <w:gridSpan w:val="3"/>
            <w:tcBorders>
              <w:top w:val="nil"/>
              <w:left w:val="nil"/>
              <w:bottom w:val="nil"/>
              <w:right w:val="nil"/>
            </w:tcBorders>
          </w:tcPr>
          <w:p w14:paraId="4F8FB4E9"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cenový vývoj a deflátory</w:t>
            </w:r>
          </w:p>
        </w:tc>
        <w:tc>
          <w:tcPr>
            <w:tcW w:w="567" w:type="dxa"/>
            <w:tcBorders>
              <w:top w:val="nil"/>
              <w:left w:val="nil"/>
              <w:bottom w:val="nil"/>
              <w:right w:val="nil"/>
            </w:tcBorders>
          </w:tcPr>
          <w:p w14:paraId="571C3D3D" w14:textId="2B2046F9"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A46847">
              <w:rPr>
                <w:rFonts w:ascii="Arial" w:hAnsi="Arial" w:cs="Arial"/>
                <w:szCs w:val="22"/>
                <w:lang w:eastAsia="cs-CZ"/>
              </w:rPr>
              <w:t>8</w:t>
            </w:r>
          </w:p>
        </w:tc>
      </w:tr>
      <w:tr w:rsidR="00526FAB" w:rsidRPr="00BE3799" w14:paraId="0936B170" w14:textId="77777777" w:rsidTr="00526FAB">
        <w:trPr>
          <w:cantSplit/>
          <w:trHeight w:hRule="exact" w:val="284"/>
        </w:trPr>
        <w:tc>
          <w:tcPr>
            <w:tcW w:w="808" w:type="dxa"/>
            <w:tcBorders>
              <w:top w:val="nil"/>
              <w:left w:val="nil"/>
              <w:bottom w:val="nil"/>
              <w:right w:val="nil"/>
            </w:tcBorders>
          </w:tcPr>
          <w:p w14:paraId="778875F2"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3.1</w:t>
            </w:r>
          </w:p>
        </w:tc>
        <w:tc>
          <w:tcPr>
            <w:tcW w:w="188" w:type="dxa"/>
            <w:tcBorders>
              <w:top w:val="nil"/>
              <w:left w:val="nil"/>
              <w:bottom w:val="nil"/>
              <w:right w:val="nil"/>
            </w:tcBorders>
          </w:tcPr>
          <w:p w14:paraId="4921AE57"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2C2A08F6"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Spotrebiteľské ceny</w:t>
            </w:r>
          </w:p>
        </w:tc>
        <w:tc>
          <w:tcPr>
            <w:tcW w:w="567" w:type="dxa"/>
            <w:tcBorders>
              <w:top w:val="nil"/>
              <w:left w:val="nil"/>
              <w:bottom w:val="nil"/>
              <w:right w:val="nil"/>
            </w:tcBorders>
          </w:tcPr>
          <w:p w14:paraId="63A69889" w14:textId="54D2587A"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A46847">
              <w:rPr>
                <w:rFonts w:ascii="Arial" w:hAnsi="Arial" w:cs="Arial"/>
                <w:szCs w:val="22"/>
                <w:lang w:eastAsia="cs-CZ"/>
              </w:rPr>
              <w:t>8</w:t>
            </w:r>
          </w:p>
        </w:tc>
      </w:tr>
      <w:tr w:rsidR="00526FAB" w:rsidRPr="00BE3799" w14:paraId="70C5D6AC" w14:textId="77777777" w:rsidTr="00526FAB">
        <w:trPr>
          <w:cantSplit/>
          <w:trHeight w:hRule="exact" w:val="284"/>
        </w:trPr>
        <w:tc>
          <w:tcPr>
            <w:tcW w:w="808" w:type="dxa"/>
            <w:tcBorders>
              <w:top w:val="nil"/>
              <w:left w:val="nil"/>
              <w:bottom w:val="nil"/>
              <w:right w:val="nil"/>
            </w:tcBorders>
          </w:tcPr>
          <w:p w14:paraId="1241DE39"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3.2</w:t>
            </w:r>
          </w:p>
        </w:tc>
        <w:tc>
          <w:tcPr>
            <w:tcW w:w="188" w:type="dxa"/>
            <w:tcBorders>
              <w:top w:val="nil"/>
              <w:left w:val="nil"/>
              <w:bottom w:val="nil"/>
              <w:right w:val="nil"/>
            </w:tcBorders>
          </w:tcPr>
          <w:p w14:paraId="03F6DD98"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309FBC21"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Ceny výrobcov</w:t>
            </w:r>
          </w:p>
        </w:tc>
        <w:tc>
          <w:tcPr>
            <w:tcW w:w="567" w:type="dxa"/>
            <w:tcBorders>
              <w:top w:val="nil"/>
              <w:left w:val="nil"/>
              <w:bottom w:val="nil"/>
              <w:right w:val="nil"/>
            </w:tcBorders>
          </w:tcPr>
          <w:p w14:paraId="7B010265" w14:textId="439CB328"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86682D">
              <w:rPr>
                <w:rFonts w:ascii="Arial" w:hAnsi="Arial" w:cs="Arial"/>
                <w:szCs w:val="22"/>
                <w:lang w:eastAsia="cs-CZ"/>
              </w:rPr>
              <w:t>9</w:t>
            </w:r>
          </w:p>
        </w:tc>
      </w:tr>
      <w:tr w:rsidR="00526FAB" w:rsidRPr="00BE3799" w14:paraId="53D589BD" w14:textId="77777777" w:rsidTr="00526FAB">
        <w:trPr>
          <w:cantSplit/>
          <w:trHeight w:hRule="exact" w:val="284"/>
        </w:trPr>
        <w:tc>
          <w:tcPr>
            <w:tcW w:w="808" w:type="dxa"/>
            <w:tcBorders>
              <w:top w:val="nil"/>
              <w:left w:val="nil"/>
              <w:bottom w:val="nil"/>
              <w:right w:val="nil"/>
            </w:tcBorders>
          </w:tcPr>
          <w:p w14:paraId="70C97998"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3.3</w:t>
            </w:r>
          </w:p>
        </w:tc>
        <w:tc>
          <w:tcPr>
            <w:tcW w:w="188" w:type="dxa"/>
            <w:tcBorders>
              <w:top w:val="nil"/>
              <w:left w:val="nil"/>
              <w:bottom w:val="nil"/>
              <w:right w:val="nil"/>
            </w:tcBorders>
          </w:tcPr>
          <w:p w14:paraId="7C4AB8D2"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59A15330"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Cenové deflátory</w:t>
            </w:r>
          </w:p>
        </w:tc>
        <w:tc>
          <w:tcPr>
            <w:tcW w:w="567" w:type="dxa"/>
            <w:tcBorders>
              <w:top w:val="nil"/>
              <w:left w:val="nil"/>
              <w:bottom w:val="nil"/>
              <w:right w:val="nil"/>
            </w:tcBorders>
          </w:tcPr>
          <w:p w14:paraId="1D013EDE" w14:textId="1785A490" w:rsidR="00526FAB" w:rsidRPr="00BE3799" w:rsidRDefault="00E642E0" w:rsidP="00E64957">
            <w:pPr>
              <w:widowControl/>
              <w:tabs>
                <w:tab w:val="left" w:pos="426"/>
              </w:tabs>
              <w:jc w:val="right"/>
              <w:rPr>
                <w:rFonts w:ascii="Arial" w:hAnsi="Arial" w:cs="Arial"/>
                <w:szCs w:val="22"/>
                <w:highlight w:val="yellow"/>
                <w:lang w:eastAsia="cs-CZ"/>
              </w:rPr>
            </w:pPr>
            <w:r>
              <w:rPr>
                <w:rFonts w:ascii="Arial" w:hAnsi="Arial" w:cs="Arial"/>
                <w:szCs w:val="22"/>
                <w:lang w:eastAsia="cs-CZ"/>
              </w:rPr>
              <w:t>20</w:t>
            </w:r>
          </w:p>
        </w:tc>
      </w:tr>
      <w:tr w:rsidR="00526FAB" w:rsidRPr="00BE3799" w14:paraId="39B4B7FD" w14:textId="77777777" w:rsidTr="00526FAB">
        <w:trPr>
          <w:trHeight w:hRule="exact" w:val="170"/>
        </w:trPr>
        <w:tc>
          <w:tcPr>
            <w:tcW w:w="808" w:type="dxa"/>
            <w:tcBorders>
              <w:top w:val="nil"/>
              <w:left w:val="nil"/>
              <w:bottom w:val="nil"/>
              <w:right w:val="nil"/>
            </w:tcBorders>
          </w:tcPr>
          <w:p w14:paraId="5E56B14F"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3EDD191D" w14:textId="77777777" w:rsidR="00526FAB" w:rsidRPr="00BE3799" w:rsidRDefault="00526FAB" w:rsidP="00526FAB">
            <w:pPr>
              <w:widowControl/>
              <w:tabs>
                <w:tab w:val="left" w:pos="426"/>
              </w:tabs>
              <w:jc w:val="left"/>
              <w:rPr>
                <w:rFonts w:ascii="Arial" w:hAnsi="Arial" w:cs="Arial"/>
                <w:b/>
                <w:szCs w:val="22"/>
                <w:lang w:eastAsia="cs-CZ"/>
              </w:rPr>
            </w:pPr>
          </w:p>
        </w:tc>
        <w:tc>
          <w:tcPr>
            <w:tcW w:w="567" w:type="dxa"/>
            <w:tcBorders>
              <w:top w:val="nil"/>
              <w:left w:val="nil"/>
              <w:bottom w:val="nil"/>
              <w:right w:val="nil"/>
            </w:tcBorders>
          </w:tcPr>
          <w:p w14:paraId="43193936" w14:textId="77777777" w:rsidR="00526FAB" w:rsidRPr="00BE3799" w:rsidRDefault="00526FAB" w:rsidP="00526FAB">
            <w:pPr>
              <w:widowControl/>
              <w:tabs>
                <w:tab w:val="left" w:pos="426"/>
              </w:tabs>
              <w:jc w:val="right"/>
              <w:rPr>
                <w:rFonts w:ascii="Arial" w:hAnsi="Arial" w:cs="Arial"/>
                <w:szCs w:val="22"/>
                <w:highlight w:val="yellow"/>
                <w:lang w:eastAsia="cs-CZ"/>
              </w:rPr>
            </w:pPr>
          </w:p>
        </w:tc>
      </w:tr>
      <w:tr w:rsidR="00526FAB" w:rsidRPr="00BE3799" w14:paraId="7BEE238F" w14:textId="77777777" w:rsidTr="00526FAB">
        <w:trPr>
          <w:trHeight w:hRule="exact" w:val="284"/>
        </w:trPr>
        <w:tc>
          <w:tcPr>
            <w:tcW w:w="808" w:type="dxa"/>
            <w:tcBorders>
              <w:top w:val="nil"/>
              <w:left w:val="nil"/>
              <w:bottom w:val="nil"/>
              <w:right w:val="nil"/>
            </w:tcBorders>
          </w:tcPr>
          <w:p w14:paraId="650349E9"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p>
        </w:tc>
        <w:tc>
          <w:tcPr>
            <w:tcW w:w="7701" w:type="dxa"/>
            <w:gridSpan w:val="3"/>
            <w:tcBorders>
              <w:top w:val="nil"/>
              <w:left w:val="nil"/>
              <w:bottom w:val="nil"/>
              <w:right w:val="nil"/>
            </w:tcBorders>
          </w:tcPr>
          <w:p w14:paraId="4A376A27" w14:textId="7F7CADAF"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trh práce</w:t>
            </w:r>
          </w:p>
        </w:tc>
        <w:tc>
          <w:tcPr>
            <w:tcW w:w="567" w:type="dxa"/>
            <w:tcBorders>
              <w:top w:val="nil"/>
              <w:left w:val="nil"/>
              <w:bottom w:val="nil"/>
              <w:right w:val="nil"/>
            </w:tcBorders>
          </w:tcPr>
          <w:p w14:paraId="4AF03355" w14:textId="15F4D9BF" w:rsidR="00526FAB" w:rsidRPr="00BE3799" w:rsidRDefault="0086682D" w:rsidP="008B1666">
            <w:pPr>
              <w:widowControl/>
              <w:tabs>
                <w:tab w:val="left" w:pos="426"/>
              </w:tabs>
              <w:jc w:val="right"/>
              <w:rPr>
                <w:rFonts w:ascii="Arial" w:hAnsi="Arial" w:cs="Arial"/>
                <w:szCs w:val="22"/>
                <w:lang w:eastAsia="cs-CZ"/>
              </w:rPr>
            </w:pPr>
            <w:r>
              <w:rPr>
                <w:rFonts w:ascii="Arial" w:hAnsi="Arial" w:cs="Arial"/>
                <w:szCs w:val="22"/>
                <w:lang w:eastAsia="cs-CZ"/>
              </w:rPr>
              <w:t>20</w:t>
            </w:r>
          </w:p>
        </w:tc>
      </w:tr>
      <w:tr w:rsidR="00526FAB" w:rsidRPr="00BE3799" w14:paraId="5F1F64F1" w14:textId="77777777" w:rsidTr="00526FAB">
        <w:trPr>
          <w:cantSplit/>
          <w:trHeight w:hRule="exact" w:val="284"/>
        </w:trPr>
        <w:tc>
          <w:tcPr>
            <w:tcW w:w="808" w:type="dxa"/>
            <w:tcBorders>
              <w:top w:val="nil"/>
              <w:left w:val="nil"/>
              <w:bottom w:val="nil"/>
              <w:right w:val="nil"/>
            </w:tcBorders>
          </w:tcPr>
          <w:p w14:paraId="79D7236D" w14:textId="033AE582"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r w:rsidR="00784EDC">
              <w:rPr>
                <w:rFonts w:ascii="Arial" w:hAnsi="Arial" w:cs="Arial"/>
                <w:b/>
                <w:caps/>
                <w:szCs w:val="22"/>
                <w:lang w:eastAsia="cs-CZ"/>
              </w:rPr>
              <w:t>1</w:t>
            </w:r>
          </w:p>
        </w:tc>
        <w:tc>
          <w:tcPr>
            <w:tcW w:w="188" w:type="dxa"/>
            <w:tcBorders>
              <w:top w:val="nil"/>
              <w:left w:val="nil"/>
              <w:bottom w:val="nil"/>
              <w:right w:val="nil"/>
            </w:tcBorders>
          </w:tcPr>
          <w:p w14:paraId="4D76FDD0"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68F40015"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rPr>
              <w:t>Ekonomická aktivita podľa Výberového zisťovania pracovných síl</w:t>
            </w:r>
          </w:p>
        </w:tc>
        <w:tc>
          <w:tcPr>
            <w:tcW w:w="567" w:type="dxa"/>
            <w:tcBorders>
              <w:top w:val="nil"/>
              <w:left w:val="nil"/>
              <w:bottom w:val="nil"/>
              <w:right w:val="nil"/>
            </w:tcBorders>
          </w:tcPr>
          <w:p w14:paraId="73B41891" w14:textId="1869D63E" w:rsidR="00526FAB" w:rsidRPr="0016480E" w:rsidRDefault="00A46847" w:rsidP="008B1666">
            <w:pPr>
              <w:widowControl/>
              <w:tabs>
                <w:tab w:val="left" w:pos="426"/>
              </w:tabs>
              <w:jc w:val="right"/>
              <w:rPr>
                <w:rFonts w:ascii="Arial" w:hAnsi="Arial" w:cs="Arial"/>
                <w:szCs w:val="22"/>
                <w:lang w:eastAsia="cs-CZ"/>
              </w:rPr>
            </w:pPr>
            <w:r>
              <w:rPr>
                <w:rFonts w:ascii="Arial" w:hAnsi="Arial" w:cs="Arial"/>
                <w:szCs w:val="22"/>
                <w:lang w:eastAsia="cs-CZ"/>
              </w:rPr>
              <w:t>20</w:t>
            </w:r>
          </w:p>
        </w:tc>
      </w:tr>
      <w:tr w:rsidR="00526FAB" w:rsidRPr="00BE3799" w14:paraId="2818C614" w14:textId="77777777" w:rsidTr="00526FAB">
        <w:trPr>
          <w:cantSplit/>
          <w:trHeight w:hRule="exact" w:val="284"/>
        </w:trPr>
        <w:tc>
          <w:tcPr>
            <w:tcW w:w="808" w:type="dxa"/>
            <w:tcBorders>
              <w:top w:val="nil"/>
              <w:left w:val="nil"/>
              <w:bottom w:val="nil"/>
              <w:right w:val="nil"/>
            </w:tcBorders>
          </w:tcPr>
          <w:p w14:paraId="52704B8A" w14:textId="1C7408A3"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r w:rsidR="00784EDC">
              <w:rPr>
                <w:rFonts w:ascii="Arial" w:hAnsi="Arial" w:cs="Arial"/>
                <w:b/>
                <w:caps/>
                <w:szCs w:val="22"/>
                <w:lang w:eastAsia="cs-CZ"/>
              </w:rPr>
              <w:t>2</w:t>
            </w:r>
          </w:p>
        </w:tc>
        <w:tc>
          <w:tcPr>
            <w:tcW w:w="188" w:type="dxa"/>
            <w:tcBorders>
              <w:top w:val="nil"/>
              <w:left w:val="nil"/>
              <w:bottom w:val="nil"/>
              <w:right w:val="nil"/>
            </w:tcBorders>
          </w:tcPr>
          <w:p w14:paraId="390ECCBE"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07D1662D"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Priemerná mesačná mzda</w:t>
            </w:r>
          </w:p>
        </w:tc>
        <w:tc>
          <w:tcPr>
            <w:tcW w:w="567" w:type="dxa"/>
            <w:tcBorders>
              <w:top w:val="nil"/>
              <w:left w:val="nil"/>
              <w:bottom w:val="nil"/>
              <w:right w:val="nil"/>
            </w:tcBorders>
          </w:tcPr>
          <w:p w14:paraId="074974F6" w14:textId="02744A9C" w:rsidR="00526FAB" w:rsidRPr="0016480E" w:rsidRDefault="003D335E" w:rsidP="00F35B71">
            <w:pPr>
              <w:widowControl/>
              <w:tabs>
                <w:tab w:val="left" w:pos="426"/>
              </w:tabs>
              <w:jc w:val="right"/>
              <w:rPr>
                <w:rFonts w:ascii="Arial" w:hAnsi="Arial" w:cs="Arial"/>
                <w:szCs w:val="22"/>
                <w:highlight w:val="yellow"/>
                <w:lang w:eastAsia="cs-CZ"/>
              </w:rPr>
            </w:pPr>
            <w:r w:rsidRPr="0016480E">
              <w:rPr>
                <w:rFonts w:ascii="Arial" w:hAnsi="Arial" w:cs="Arial"/>
                <w:szCs w:val="22"/>
                <w:lang w:eastAsia="cs-CZ"/>
              </w:rPr>
              <w:t>2</w:t>
            </w:r>
            <w:r w:rsidR="0086682D">
              <w:rPr>
                <w:rFonts w:ascii="Arial" w:hAnsi="Arial" w:cs="Arial"/>
                <w:szCs w:val="22"/>
                <w:lang w:eastAsia="cs-CZ"/>
              </w:rPr>
              <w:t>4</w:t>
            </w:r>
          </w:p>
        </w:tc>
      </w:tr>
      <w:tr w:rsidR="00526FAB" w:rsidRPr="00BE3799" w14:paraId="08C459EA" w14:textId="77777777" w:rsidTr="00526FAB">
        <w:trPr>
          <w:trHeight w:hRule="exact" w:val="170"/>
        </w:trPr>
        <w:tc>
          <w:tcPr>
            <w:tcW w:w="808" w:type="dxa"/>
            <w:tcBorders>
              <w:top w:val="nil"/>
              <w:left w:val="nil"/>
              <w:bottom w:val="nil"/>
              <w:right w:val="nil"/>
            </w:tcBorders>
          </w:tcPr>
          <w:p w14:paraId="5973B665"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47292552" w14:textId="77777777" w:rsidR="00526FAB" w:rsidRPr="00BE3799" w:rsidRDefault="00526FAB" w:rsidP="00526FAB">
            <w:pPr>
              <w:widowControl/>
              <w:tabs>
                <w:tab w:val="left" w:pos="426"/>
              </w:tabs>
              <w:jc w:val="left"/>
              <w:rPr>
                <w:rFonts w:ascii="Arial" w:hAnsi="Arial" w:cs="Arial"/>
                <w:b/>
                <w:szCs w:val="22"/>
                <w:lang w:eastAsia="cs-CZ"/>
              </w:rPr>
            </w:pPr>
          </w:p>
        </w:tc>
        <w:tc>
          <w:tcPr>
            <w:tcW w:w="567" w:type="dxa"/>
            <w:tcBorders>
              <w:top w:val="nil"/>
              <w:left w:val="nil"/>
              <w:bottom w:val="nil"/>
              <w:right w:val="nil"/>
            </w:tcBorders>
          </w:tcPr>
          <w:p w14:paraId="10899275" w14:textId="77777777" w:rsidR="00526FAB" w:rsidRPr="00BE3799" w:rsidRDefault="00526FAB" w:rsidP="00526FAB">
            <w:pPr>
              <w:widowControl/>
              <w:tabs>
                <w:tab w:val="left" w:pos="426"/>
              </w:tabs>
              <w:jc w:val="right"/>
              <w:rPr>
                <w:rFonts w:ascii="Arial" w:hAnsi="Arial" w:cs="Arial"/>
                <w:szCs w:val="22"/>
                <w:highlight w:val="yellow"/>
                <w:lang w:eastAsia="cs-CZ"/>
              </w:rPr>
            </w:pPr>
          </w:p>
        </w:tc>
      </w:tr>
      <w:tr w:rsidR="00526FAB" w:rsidRPr="00BE3799" w14:paraId="68BC15A3" w14:textId="77777777" w:rsidTr="00526FAB">
        <w:trPr>
          <w:trHeight w:hRule="exact" w:val="284"/>
        </w:trPr>
        <w:tc>
          <w:tcPr>
            <w:tcW w:w="808" w:type="dxa"/>
            <w:tcBorders>
              <w:top w:val="nil"/>
              <w:left w:val="nil"/>
              <w:bottom w:val="nil"/>
              <w:right w:val="nil"/>
            </w:tcBorders>
          </w:tcPr>
          <w:p w14:paraId="6FBA1D74"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5.</w:t>
            </w:r>
          </w:p>
        </w:tc>
        <w:tc>
          <w:tcPr>
            <w:tcW w:w="7701" w:type="dxa"/>
            <w:gridSpan w:val="3"/>
            <w:tcBorders>
              <w:top w:val="nil"/>
              <w:left w:val="nil"/>
              <w:bottom w:val="nil"/>
              <w:right w:val="nil"/>
            </w:tcBorders>
          </w:tcPr>
          <w:p w14:paraId="5208D4DD"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Metodické vysvetlivky</w:t>
            </w:r>
          </w:p>
        </w:tc>
        <w:tc>
          <w:tcPr>
            <w:tcW w:w="567" w:type="dxa"/>
            <w:tcBorders>
              <w:top w:val="nil"/>
              <w:left w:val="nil"/>
              <w:bottom w:val="nil"/>
              <w:right w:val="nil"/>
            </w:tcBorders>
          </w:tcPr>
          <w:p w14:paraId="37DB0784" w14:textId="5004A241" w:rsidR="00526FAB" w:rsidRPr="00BE3799" w:rsidRDefault="00526FAB" w:rsidP="00F35B71">
            <w:pPr>
              <w:widowControl/>
              <w:tabs>
                <w:tab w:val="left" w:pos="426"/>
              </w:tabs>
              <w:jc w:val="right"/>
              <w:rPr>
                <w:rFonts w:ascii="Arial" w:hAnsi="Arial" w:cs="Arial"/>
                <w:bCs/>
                <w:szCs w:val="22"/>
                <w:highlight w:val="yellow"/>
                <w:lang w:eastAsia="cs-CZ"/>
              </w:rPr>
            </w:pPr>
            <w:r w:rsidRPr="00BE3799">
              <w:rPr>
                <w:rFonts w:ascii="Arial" w:hAnsi="Arial" w:cs="Arial"/>
                <w:bCs/>
                <w:szCs w:val="22"/>
                <w:lang w:eastAsia="cs-CZ"/>
              </w:rPr>
              <w:t>2</w:t>
            </w:r>
            <w:r w:rsidR="0086682D">
              <w:rPr>
                <w:rFonts w:ascii="Arial" w:hAnsi="Arial" w:cs="Arial"/>
                <w:bCs/>
                <w:szCs w:val="22"/>
                <w:lang w:eastAsia="cs-CZ"/>
              </w:rPr>
              <w:t>7</w:t>
            </w:r>
          </w:p>
        </w:tc>
      </w:tr>
      <w:tr w:rsidR="00526FAB" w:rsidRPr="009D750F" w14:paraId="461CC70C" w14:textId="77777777" w:rsidTr="00526FAB">
        <w:trPr>
          <w:gridAfter w:val="4"/>
          <w:wAfter w:w="8268" w:type="dxa"/>
          <w:trHeight w:hRule="exact" w:val="340"/>
        </w:trPr>
        <w:tc>
          <w:tcPr>
            <w:tcW w:w="808" w:type="dxa"/>
            <w:tcBorders>
              <w:top w:val="nil"/>
              <w:left w:val="nil"/>
              <w:bottom w:val="nil"/>
              <w:right w:val="nil"/>
            </w:tcBorders>
          </w:tcPr>
          <w:p w14:paraId="12970162" w14:textId="77777777" w:rsidR="00526FAB" w:rsidRPr="009D750F" w:rsidRDefault="00526FAB" w:rsidP="00526FAB">
            <w:pPr>
              <w:widowControl/>
              <w:tabs>
                <w:tab w:val="left" w:pos="426"/>
              </w:tabs>
              <w:jc w:val="left"/>
              <w:rPr>
                <w:rFonts w:ascii="Arial" w:hAnsi="Arial" w:cs="Arial"/>
                <w:b/>
                <w:caps/>
                <w:sz w:val="18"/>
                <w:szCs w:val="18"/>
                <w:lang w:eastAsia="cs-CZ"/>
              </w:rPr>
            </w:pPr>
          </w:p>
        </w:tc>
      </w:tr>
      <w:tr w:rsidR="0082218E" w:rsidRPr="00BE3799" w14:paraId="2B9CF755" w14:textId="77777777" w:rsidTr="00B658E4">
        <w:trPr>
          <w:trHeight w:hRule="exact" w:val="284"/>
        </w:trPr>
        <w:tc>
          <w:tcPr>
            <w:tcW w:w="808" w:type="dxa"/>
            <w:tcBorders>
              <w:top w:val="nil"/>
              <w:left w:val="nil"/>
              <w:bottom w:val="nil"/>
              <w:right w:val="nil"/>
            </w:tcBorders>
          </w:tcPr>
          <w:p w14:paraId="79A8E7B8" w14:textId="021FF3AB" w:rsidR="0082218E" w:rsidRPr="00BE3799" w:rsidRDefault="0082218E" w:rsidP="00B658E4">
            <w:pPr>
              <w:widowControl/>
              <w:tabs>
                <w:tab w:val="left" w:pos="426"/>
              </w:tabs>
              <w:jc w:val="left"/>
              <w:rPr>
                <w:rFonts w:ascii="Arial" w:hAnsi="Arial" w:cs="Arial"/>
                <w:b/>
                <w:caps/>
                <w:szCs w:val="22"/>
                <w:lang w:eastAsia="cs-CZ"/>
              </w:rPr>
            </w:pPr>
            <w:r>
              <w:rPr>
                <w:rFonts w:ascii="Arial" w:hAnsi="Arial" w:cs="Arial"/>
                <w:b/>
                <w:caps/>
                <w:szCs w:val="22"/>
                <w:lang w:eastAsia="cs-CZ"/>
              </w:rPr>
              <w:t>6</w:t>
            </w:r>
            <w:r w:rsidRPr="00BE3799">
              <w:rPr>
                <w:rFonts w:ascii="Arial" w:hAnsi="Arial" w:cs="Arial"/>
                <w:b/>
                <w:caps/>
                <w:szCs w:val="22"/>
                <w:lang w:eastAsia="cs-CZ"/>
              </w:rPr>
              <w:t>.</w:t>
            </w:r>
          </w:p>
        </w:tc>
        <w:tc>
          <w:tcPr>
            <w:tcW w:w="7701" w:type="dxa"/>
            <w:gridSpan w:val="3"/>
            <w:tcBorders>
              <w:top w:val="nil"/>
              <w:left w:val="nil"/>
              <w:bottom w:val="nil"/>
              <w:right w:val="nil"/>
            </w:tcBorders>
          </w:tcPr>
          <w:p w14:paraId="5FCE77AD" w14:textId="2130D3E7" w:rsidR="0082218E" w:rsidRPr="00BE3799" w:rsidRDefault="0082218E" w:rsidP="00B658E4">
            <w:pPr>
              <w:keepNext/>
              <w:widowControl/>
              <w:tabs>
                <w:tab w:val="left" w:pos="426"/>
              </w:tabs>
              <w:jc w:val="left"/>
              <w:outlineLvl w:val="5"/>
              <w:rPr>
                <w:rFonts w:ascii="Arial" w:hAnsi="Arial" w:cs="Arial"/>
                <w:b/>
                <w:caps/>
                <w:szCs w:val="22"/>
                <w:lang w:eastAsia="cs-CZ"/>
              </w:rPr>
            </w:pPr>
            <w:r>
              <w:rPr>
                <w:rFonts w:ascii="Arial" w:hAnsi="Arial" w:cs="Arial"/>
                <w:b/>
                <w:caps/>
                <w:szCs w:val="22"/>
                <w:lang w:eastAsia="cs-CZ"/>
              </w:rPr>
              <w:t>Tabuľková časť</w:t>
            </w:r>
          </w:p>
        </w:tc>
        <w:tc>
          <w:tcPr>
            <w:tcW w:w="567" w:type="dxa"/>
            <w:tcBorders>
              <w:top w:val="nil"/>
              <w:left w:val="nil"/>
              <w:bottom w:val="nil"/>
              <w:right w:val="nil"/>
            </w:tcBorders>
          </w:tcPr>
          <w:p w14:paraId="0ED20F2D" w14:textId="6B50516C" w:rsidR="0082218E" w:rsidRPr="00BE3799" w:rsidRDefault="0082218E" w:rsidP="00F35B71">
            <w:pPr>
              <w:widowControl/>
              <w:tabs>
                <w:tab w:val="left" w:pos="426"/>
              </w:tabs>
              <w:jc w:val="right"/>
              <w:rPr>
                <w:rFonts w:ascii="Arial" w:hAnsi="Arial" w:cs="Arial"/>
                <w:bCs/>
                <w:szCs w:val="22"/>
                <w:highlight w:val="yellow"/>
                <w:lang w:eastAsia="cs-CZ"/>
              </w:rPr>
            </w:pPr>
            <w:r>
              <w:rPr>
                <w:rFonts w:ascii="Arial" w:hAnsi="Arial" w:cs="Arial"/>
                <w:bCs/>
                <w:szCs w:val="22"/>
                <w:lang w:eastAsia="cs-CZ"/>
              </w:rPr>
              <w:t>3</w:t>
            </w:r>
            <w:r w:rsidR="0086682D">
              <w:rPr>
                <w:rFonts w:ascii="Arial" w:hAnsi="Arial" w:cs="Arial"/>
                <w:bCs/>
                <w:szCs w:val="22"/>
                <w:lang w:eastAsia="cs-CZ"/>
              </w:rPr>
              <w:t>6</w:t>
            </w:r>
          </w:p>
        </w:tc>
      </w:tr>
      <w:tr w:rsidR="0082218E" w:rsidRPr="009D750F" w14:paraId="63BC97C9" w14:textId="77777777" w:rsidTr="00526FAB">
        <w:trPr>
          <w:gridAfter w:val="4"/>
          <w:wAfter w:w="8268" w:type="dxa"/>
          <w:trHeight w:hRule="exact" w:val="340"/>
        </w:trPr>
        <w:tc>
          <w:tcPr>
            <w:tcW w:w="808" w:type="dxa"/>
            <w:tcBorders>
              <w:top w:val="nil"/>
              <w:left w:val="nil"/>
              <w:bottom w:val="nil"/>
              <w:right w:val="nil"/>
            </w:tcBorders>
          </w:tcPr>
          <w:p w14:paraId="1A9BBD5F" w14:textId="77777777" w:rsidR="0082218E" w:rsidRPr="009D750F" w:rsidRDefault="0082218E" w:rsidP="00526FAB">
            <w:pPr>
              <w:widowControl/>
              <w:tabs>
                <w:tab w:val="left" w:pos="426"/>
              </w:tabs>
              <w:jc w:val="left"/>
              <w:rPr>
                <w:rFonts w:ascii="Arial" w:hAnsi="Arial" w:cs="Arial"/>
                <w:b/>
                <w:caps/>
                <w:sz w:val="18"/>
                <w:szCs w:val="18"/>
                <w:lang w:eastAsia="cs-CZ"/>
              </w:rPr>
            </w:pPr>
          </w:p>
        </w:tc>
      </w:tr>
    </w:tbl>
    <w:p w14:paraId="590CE4E9" w14:textId="77777777" w:rsidR="00526FAB" w:rsidRPr="009D750F" w:rsidRDefault="00526FAB" w:rsidP="00526FAB">
      <w:pPr>
        <w:pStyle w:val="Popis"/>
        <w:tabs>
          <w:tab w:val="left" w:pos="426"/>
        </w:tabs>
        <w:rPr>
          <w:rFonts w:cs="Arial"/>
        </w:rPr>
      </w:pPr>
    </w:p>
    <w:p w14:paraId="5EB69868" w14:textId="0C7DE834" w:rsidR="00526FAB" w:rsidRPr="009D750F" w:rsidRDefault="00526FAB" w:rsidP="00526FAB">
      <w:pPr>
        <w:tabs>
          <w:tab w:val="left" w:pos="426"/>
        </w:tabs>
        <w:rPr>
          <w:rFonts w:ascii="Arial" w:hAnsi="Arial" w:cs="Arial"/>
          <w:b/>
        </w:rPr>
      </w:pPr>
      <w:r w:rsidRPr="009D750F">
        <w:rPr>
          <w:rFonts w:ascii="Arial" w:hAnsi="Arial" w:cs="Arial"/>
        </w:rPr>
        <w:br w:type="page"/>
      </w:r>
      <w:r w:rsidRPr="009D750F">
        <w:rPr>
          <w:rFonts w:ascii="Arial" w:hAnsi="Arial" w:cs="Arial"/>
          <w:b/>
        </w:rPr>
        <w:lastRenderedPageBreak/>
        <w:t>Tabuľková časť</w:t>
      </w:r>
      <w:r w:rsidR="00893E18">
        <w:rPr>
          <w:rFonts w:ascii="Arial" w:hAnsi="Arial" w:cs="Arial"/>
          <w:b/>
        </w:rPr>
        <w:t xml:space="preserve"> – zoznam tabuliek</w:t>
      </w:r>
    </w:p>
    <w:p w14:paraId="1E01BEDA" w14:textId="77777777" w:rsidR="00526FAB" w:rsidRPr="009D750F" w:rsidRDefault="00526FAB" w:rsidP="00526FAB">
      <w:pPr>
        <w:widowControl/>
        <w:tabs>
          <w:tab w:val="left" w:pos="426"/>
        </w:tabs>
        <w:rPr>
          <w:rFonts w:ascii="Arial" w:hAnsi="Arial" w:cs="Arial"/>
          <w:sz w:val="16"/>
        </w:rPr>
      </w:pPr>
    </w:p>
    <w:tbl>
      <w:tblPr>
        <w:tblW w:w="9506" w:type="dxa"/>
        <w:tblInd w:w="-71" w:type="dxa"/>
        <w:tblLayout w:type="fixed"/>
        <w:tblCellMar>
          <w:left w:w="71" w:type="dxa"/>
          <w:right w:w="71" w:type="dxa"/>
        </w:tblCellMar>
        <w:tblLook w:val="0000" w:firstRow="0" w:lastRow="0" w:firstColumn="0" w:lastColumn="0" w:noHBand="0" w:noVBand="0"/>
      </w:tblPr>
      <w:tblGrid>
        <w:gridCol w:w="497"/>
        <w:gridCol w:w="709"/>
        <w:gridCol w:w="71"/>
        <w:gridCol w:w="7725"/>
        <w:gridCol w:w="162"/>
        <w:gridCol w:w="342"/>
      </w:tblGrid>
      <w:tr w:rsidR="00526FAB" w:rsidRPr="003E13C2" w14:paraId="7C43ECE4" w14:textId="77777777" w:rsidTr="00F528DB">
        <w:trPr>
          <w:gridBefore w:val="1"/>
          <w:gridAfter w:val="1"/>
          <w:wBefore w:w="497" w:type="dxa"/>
          <w:wAfter w:w="342" w:type="dxa"/>
          <w:trHeight w:hRule="exact" w:val="278"/>
        </w:trPr>
        <w:tc>
          <w:tcPr>
            <w:tcW w:w="780" w:type="dxa"/>
            <w:gridSpan w:val="2"/>
          </w:tcPr>
          <w:p w14:paraId="44036858" w14:textId="206B0DCA" w:rsidR="00526FAB" w:rsidRPr="003E13C2" w:rsidRDefault="00B47967" w:rsidP="00B47967">
            <w:pPr>
              <w:widowControl/>
              <w:tabs>
                <w:tab w:val="left" w:pos="426"/>
              </w:tabs>
              <w:jc w:val="right"/>
              <w:rPr>
                <w:rFonts w:ascii="Arial" w:hAnsi="Arial" w:cs="Arial"/>
              </w:rPr>
            </w:pPr>
            <w:r>
              <w:rPr>
                <w:rFonts w:ascii="Arial" w:hAnsi="Arial" w:cs="Arial"/>
              </w:rPr>
              <w:t xml:space="preserve"> </w:t>
            </w:r>
            <w:r w:rsidR="00BE3799">
              <w:rPr>
                <w:rFonts w:ascii="Arial" w:hAnsi="Arial" w:cs="Arial"/>
              </w:rPr>
              <w:t>T1</w:t>
            </w:r>
            <w:r w:rsidR="00526FAB" w:rsidRPr="003E13C2">
              <w:rPr>
                <w:rFonts w:ascii="Arial" w:hAnsi="Arial" w:cs="Arial"/>
              </w:rPr>
              <w:t>.</w:t>
            </w:r>
          </w:p>
        </w:tc>
        <w:tc>
          <w:tcPr>
            <w:tcW w:w="7725" w:type="dxa"/>
          </w:tcPr>
          <w:p w14:paraId="51C6C5D2" w14:textId="77777777" w:rsidR="00526FAB" w:rsidRPr="003E13C2" w:rsidRDefault="00526FAB" w:rsidP="00526FAB">
            <w:pPr>
              <w:widowControl/>
              <w:tabs>
                <w:tab w:val="left" w:pos="426"/>
              </w:tabs>
              <w:rPr>
                <w:rFonts w:ascii="Arial" w:hAnsi="Arial" w:cs="Arial"/>
              </w:rPr>
            </w:pPr>
            <w:r w:rsidRPr="003E13C2">
              <w:rPr>
                <w:rFonts w:ascii="Arial" w:hAnsi="Arial" w:cs="Arial"/>
              </w:rPr>
              <w:t>Základné ukazovatele ekonomického vývoja SR podľa mesiacov</w:t>
            </w:r>
          </w:p>
        </w:tc>
        <w:tc>
          <w:tcPr>
            <w:tcW w:w="162" w:type="dxa"/>
          </w:tcPr>
          <w:p w14:paraId="519FD890" w14:textId="77777777" w:rsidR="00526FAB" w:rsidRPr="003E13C2" w:rsidRDefault="00526FAB" w:rsidP="00526FAB">
            <w:pPr>
              <w:widowControl/>
              <w:tabs>
                <w:tab w:val="left" w:pos="426"/>
              </w:tabs>
              <w:jc w:val="right"/>
              <w:rPr>
                <w:rFonts w:ascii="Arial" w:hAnsi="Arial" w:cs="Arial"/>
              </w:rPr>
            </w:pPr>
          </w:p>
        </w:tc>
      </w:tr>
      <w:tr w:rsidR="00526FAB" w:rsidRPr="003E13C2" w14:paraId="3A489CBF" w14:textId="77777777" w:rsidTr="00F528DB">
        <w:trPr>
          <w:gridBefore w:val="1"/>
          <w:gridAfter w:val="1"/>
          <w:wBefore w:w="497" w:type="dxa"/>
          <w:wAfter w:w="342" w:type="dxa"/>
          <w:trHeight w:hRule="exact" w:val="278"/>
        </w:trPr>
        <w:tc>
          <w:tcPr>
            <w:tcW w:w="780" w:type="dxa"/>
            <w:gridSpan w:val="2"/>
          </w:tcPr>
          <w:p w14:paraId="54E3EC33" w14:textId="64C11E18" w:rsidR="00526FAB" w:rsidRPr="003E13C2" w:rsidRDefault="00BE3799" w:rsidP="00526FAB">
            <w:pPr>
              <w:widowControl/>
              <w:tabs>
                <w:tab w:val="left" w:pos="426"/>
              </w:tabs>
              <w:jc w:val="right"/>
              <w:rPr>
                <w:rFonts w:ascii="Arial" w:hAnsi="Arial" w:cs="Arial"/>
              </w:rPr>
            </w:pPr>
            <w:r>
              <w:rPr>
                <w:rFonts w:ascii="Arial" w:hAnsi="Arial" w:cs="Arial"/>
              </w:rPr>
              <w:t>T</w:t>
            </w:r>
            <w:r w:rsidR="00526FAB" w:rsidRPr="003E13C2">
              <w:rPr>
                <w:rFonts w:ascii="Arial" w:hAnsi="Arial" w:cs="Arial"/>
              </w:rPr>
              <w:t>2.</w:t>
            </w:r>
          </w:p>
        </w:tc>
        <w:tc>
          <w:tcPr>
            <w:tcW w:w="7725" w:type="dxa"/>
          </w:tcPr>
          <w:p w14:paraId="46E946A8" w14:textId="77777777" w:rsidR="00526FAB" w:rsidRPr="003E13C2" w:rsidRDefault="00526FAB" w:rsidP="00526FAB">
            <w:pPr>
              <w:widowControl/>
              <w:tabs>
                <w:tab w:val="left" w:pos="426"/>
              </w:tabs>
              <w:rPr>
                <w:rFonts w:ascii="Arial" w:hAnsi="Arial" w:cs="Arial"/>
              </w:rPr>
            </w:pPr>
            <w:r w:rsidRPr="003E13C2">
              <w:rPr>
                <w:rFonts w:ascii="Arial" w:hAnsi="Arial" w:cs="Arial"/>
              </w:rPr>
              <w:t>Základné ukazovatele ekonomického vývoja SR podľa štvrťrokov</w:t>
            </w:r>
          </w:p>
        </w:tc>
        <w:tc>
          <w:tcPr>
            <w:tcW w:w="162" w:type="dxa"/>
          </w:tcPr>
          <w:p w14:paraId="7E48649B" w14:textId="77777777" w:rsidR="00526FAB" w:rsidRPr="003E13C2" w:rsidRDefault="00526FAB" w:rsidP="00526FAB">
            <w:pPr>
              <w:widowControl/>
              <w:tabs>
                <w:tab w:val="left" w:pos="426"/>
              </w:tabs>
              <w:jc w:val="right"/>
              <w:rPr>
                <w:rFonts w:ascii="Arial" w:hAnsi="Arial" w:cs="Arial"/>
              </w:rPr>
            </w:pPr>
          </w:p>
        </w:tc>
      </w:tr>
      <w:tr w:rsidR="00526FAB" w:rsidRPr="003E13C2" w14:paraId="2F7384F6" w14:textId="77777777" w:rsidTr="00F528DB">
        <w:trPr>
          <w:gridBefore w:val="1"/>
          <w:gridAfter w:val="1"/>
          <w:wBefore w:w="497" w:type="dxa"/>
          <w:wAfter w:w="342" w:type="dxa"/>
          <w:trHeight w:hRule="exact" w:val="566"/>
        </w:trPr>
        <w:tc>
          <w:tcPr>
            <w:tcW w:w="780" w:type="dxa"/>
            <w:gridSpan w:val="2"/>
          </w:tcPr>
          <w:p w14:paraId="0EB230C5" w14:textId="2C4DA915" w:rsidR="00526FAB" w:rsidRPr="003E13C2" w:rsidRDefault="00BE3799" w:rsidP="00526FAB">
            <w:pPr>
              <w:widowControl/>
              <w:tabs>
                <w:tab w:val="left" w:pos="426"/>
              </w:tabs>
              <w:jc w:val="right"/>
              <w:rPr>
                <w:rFonts w:ascii="Arial" w:hAnsi="Arial" w:cs="Arial"/>
              </w:rPr>
            </w:pPr>
            <w:r>
              <w:rPr>
                <w:rFonts w:ascii="Arial" w:hAnsi="Arial" w:cs="Arial"/>
              </w:rPr>
              <w:t>T</w:t>
            </w:r>
            <w:r w:rsidR="00E4775E">
              <w:rPr>
                <w:rFonts w:ascii="Arial" w:hAnsi="Arial" w:cs="Arial"/>
              </w:rPr>
              <w:t>3</w:t>
            </w:r>
            <w:r w:rsidR="0099098D">
              <w:rPr>
                <w:rFonts w:ascii="Arial" w:hAnsi="Arial" w:cs="Arial"/>
              </w:rPr>
              <w:t>a</w:t>
            </w:r>
            <w:r w:rsidR="00526FAB" w:rsidRPr="003E13C2">
              <w:rPr>
                <w:rFonts w:ascii="Arial" w:hAnsi="Arial" w:cs="Arial"/>
              </w:rPr>
              <w:t>.</w:t>
            </w:r>
          </w:p>
        </w:tc>
        <w:tc>
          <w:tcPr>
            <w:tcW w:w="7725" w:type="dxa"/>
          </w:tcPr>
          <w:p w14:paraId="65059FD3" w14:textId="77777777" w:rsidR="00526FAB" w:rsidRPr="003E13C2" w:rsidRDefault="00526FAB" w:rsidP="00526FAB">
            <w:pPr>
              <w:widowControl/>
              <w:tabs>
                <w:tab w:val="left" w:pos="426"/>
              </w:tabs>
              <w:rPr>
                <w:rFonts w:ascii="Arial" w:hAnsi="Arial" w:cs="Arial"/>
              </w:rPr>
            </w:pPr>
            <w:r w:rsidRPr="003E13C2">
              <w:rPr>
                <w:rFonts w:ascii="Arial" w:hAnsi="Arial" w:cs="Arial"/>
              </w:rPr>
              <w:t>Hrubý domáci produkt podľa zložiek výdavkov v stálych cenách vypočítaných reťazením objemov – štvrťročne</w:t>
            </w:r>
          </w:p>
        </w:tc>
        <w:tc>
          <w:tcPr>
            <w:tcW w:w="162" w:type="dxa"/>
          </w:tcPr>
          <w:p w14:paraId="23D14C94" w14:textId="77777777" w:rsidR="00526FAB" w:rsidRPr="003E13C2" w:rsidRDefault="00526FAB" w:rsidP="00526FAB">
            <w:pPr>
              <w:widowControl/>
              <w:tabs>
                <w:tab w:val="left" w:pos="426"/>
              </w:tabs>
              <w:jc w:val="right"/>
              <w:rPr>
                <w:rFonts w:ascii="Arial" w:hAnsi="Arial" w:cs="Arial"/>
              </w:rPr>
            </w:pPr>
          </w:p>
        </w:tc>
      </w:tr>
      <w:tr w:rsidR="0099098D" w:rsidRPr="003E13C2" w14:paraId="2BC128F9" w14:textId="77777777" w:rsidTr="00F528DB">
        <w:trPr>
          <w:gridBefore w:val="1"/>
          <w:gridAfter w:val="1"/>
          <w:wBefore w:w="497" w:type="dxa"/>
          <w:wAfter w:w="342" w:type="dxa"/>
          <w:trHeight w:hRule="exact" w:val="566"/>
        </w:trPr>
        <w:tc>
          <w:tcPr>
            <w:tcW w:w="780" w:type="dxa"/>
            <w:gridSpan w:val="2"/>
          </w:tcPr>
          <w:p w14:paraId="13639D19" w14:textId="74E6B6A9" w:rsidR="0099098D" w:rsidRDefault="0099098D" w:rsidP="00526FAB">
            <w:pPr>
              <w:widowControl/>
              <w:tabs>
                <w:tab w:val="left" w:pos="426"/>
              </w:tabs>
              <w:jc w:val="right"/>
              <w:rPr>
                <w:rFonts w:ascii="Arial" w:hAnsi="Arial" w:cs="Arial"/>
              </w:rPr>
            </w:pPr>
            <w:r>
              <w:rPr>
                <w:rFonts w:ascii="Arial" w:hAnsi="Arial" w:cs="Arial"/>
              </w:rPr>
              <w:t>T3b</w:t>
            </w:r>
            <w:r w:rsidRPr="003E13C2">
              <w:rPr>
                <w:rFonts w:ascii="Arial" w:hAnsi="Arial" w:cs="Arial"/>
              </w:rPr>
              <w:t>.</w:t>
            </w:r>
          </w:p>
        </w:tc>
        <w:tc>
          <w:tcPr>
            <w:tcW w:w="7725" w:type="dxa"/>
          </w:tcPr>
          <w:p w14:paraId="6F8E91A9" w14:textId="1ADC4A54" w:rsidR="0099098D" w:rsidRPr="003E13C2" w:rsidRDefault="0099098D" w:rsidP="00526FAB">
            <w:pPr>
              <w:widowControl/>
              <w:tabs>
                <w:tab w:val="left" w:pos="426"/>
              </w:tabs>
              <w:rPr>
                <w:rFonts w:ascii="Arial" w:hAnsi="Arial" w:cs="Arial"/>
              </w:rPr>
            </w:pPr>
            <w:r w:rsidRPr="0099098D">
              <w:rPr>
                <w:rFonts w:ascii="Arial" w:hAnsi="Arial" w:cs="Arial"/>
              </w:rPr>
              <w:t xml:space="preserve">Hrubý domáci produkt podľa zložiek výdavkov v stálych cenách vypočítaných reťazením objemov </w:t>
            </w:r>
            <w:r w:rsidR="00C26168">
              <w:rPr>
                <w:rFonts w:ascii="Arial" w:hAnsi="Arial" w:cs="Arial"/>
              </w:rPr>
              <w:t>–</w:t>
            </w:r>
            <w:r w:rsidRPr="0099098D">
              <w:rPr>
                <w:rFonts w:ascii="Arial" w:hAnsi="Arial" w:cs="Arial"/>
              </w:rPr>
              <w:t xml:space="preserve"> </w:t>
            </w:r>
            <w:r w:rsidR="00C26168">
              <w:rPr>
                <w:rFonts w:ascii="Arial" w:hAnsi="Arial" w:cs="Arial"/>
              </w:rPr>
              <w:t>ročne</w:t>
            </w:r>
          </w:p>
        </w:tc>
        <w:tc>
          <w:tcPr>
            <w:tcW w:w="162" w:type="dxa"/>
          </w:tcPr>
          <w:p w14:paraId="4B76E878" w14:textId="77777777" w:rsidR="0099098D" w:rsidRPr="003E13C2" w:rsidRDefault="0099098D" w:rsidP="00526FAB">
            <w:pPr>
              <w:widowControl/>
              <w:tabs>
                <w:tab w:val="left" w:pos="426"/>
              </w:tabs>
              <w:jc w:val="right"/>
              <w:rPr>
                <w:rFonts w:ascii="Arial" w:hAnsi="Arial" w:cs="Arial"/>
              </w:rPr>
            </w:pPr>
          </w:p>
        </w:tc>
      </w:tr>
      <w:tr w:rsidR="00F528DB" w:rsidRPr="003E13C2" w14:paraId="04BA3FA9" w14:textId="77777777" w:rsidTr="00F528DB">
        <w:trPr>
          <w:gridBefore w:val="1"/>
          <w:gridAfter w:val="1"/>
          <w:wBefore w:w="497" w:type="dxa"/>
          <w:wAfter w:w="342" w:type="dxa"/>
          <w:trHeight w:hRule="exact" w:val="283"/>
        </w:trPr>
        <w:tc>
          <w:tcPr>
            <w:tcW w:w="780" w:type="dxa"/>
            <w:gridSpan w:val="2"/>
          </w:tcPr>
          <w:p w14:paraId="2271B2F4" w14:textId="51FA57F8" w:rsidR="00F528DB" w:rsidRPr="003E13C2" w:rsidRDefault="00F528DB" w:rsidP="00F528DB">
            <w:pPr>
              <w:widowControl/>
              <w:tabs>
                <w:tab w:val="left" w:pos="426"/>
              </w:tabs>
              <w:jc w:val="right"/>
              <w:rPr>
                <w:rFonts w:ascii="Arial" w:hAnsi="Arial" w:cs="Arial"/>
              </w:rPr>
            </w:pPr>
            <w:r>
              <w:rPr>
                <w:rFonts w:ascii="Arial" w:hAnsi="Arial" w:cs="Arial"/>
              </w:rPr>
              <w:t>T4</w:t>
            </w:r>
            <w:r w:rsidR="0099098D">
              <w:rPr>
                <w:rFonts w:ascii="Arial" w:hAnsi="Arial" w:cs="Arial"/>
              </w:rPr>
              <w:t>a</w:t>
            </w:r>
            <w:r w:rsidRPr="003E13C2">
              <w:rPr>
                <w:rFonts w:ascii="Arial" w:hAnsi="Arial" w:cs="Arial"/>
              </w:rPr>
              <w:t>.</w:t>
            </w:r>
          </w:p>
        </w:tc>
        <w:tc>
          <w:tcPr>
            <w:tcW w:w="7725" w:type="dxa"/>
          </w:tcPr>
          <w:p w14:paraId="7EEAFC59" w14:textId="75484DCB" w:rsidR="00F528DB" w:rsidRPr="003E13C2" w:rsidRDefault="00F528DB" w:rsidP="00F528DB">
            <w:pPr>
              <w:pStyle w:val="Pta"/>
              <w:widowControl/>
              <w:tabs>
                <w:tab w:val="clear" w:pos="4536"/>
                <w:tab w:val="clear" w:pos="9072"/>
                <w:tab w:val="left" w:pos="426"/>
              </w:tabs>
              <w:ind w:right="-219"/>
              <w:rPr>
                <w:rFonts w:ascii="Arial" w:hAnsi="Arial" w:cs="Arial"/>
                <w:sz w:val="22"/>
              </w:rPr>
            </w:pPr>
            <w:r w:rsidRPr="003E13C2">
              <w:rPr>
                <w:rFonts w:ascii="Arial" w:hAnsi="Arial" w:cs="Arial"/>
                <w:sz w:val="22"/>
              </w:rPr>
              <w:t xml:space="preserve">Hrubý domáci produkt podľa zložiek výdavkov v bežných cenách </w:t>
            </w:r>
            <w:r>
              <w:rPr>
                <w:rFonts w:ascii="Arial" w:hAnsi="Arial" w:cs="Arial"/>
                <w:sz w:val="22"/>
              </w:rPr>
              <w:t>–</w:t>
            </w:r>
            <w:r w:rsidRPr="003E13C2">
              <w:rPr>
                <w:rFonts w:ascii="Arial" w:hAnsi="Arial" w:cs="Arial"/>
                <w:sz w:val="22"/>
              </w:rPr>
              <w:t xml:space="preserve"> štvrťročne</w:t>
            </w:r>
          </w:p>
        </w:tc>
        <w:tc>
          <w:tcPr>
            <w:tcW w:w="162" w:type="dxa"/>
          </w:tcPr>
          <w:p w14:paraId="17DFEE00" w14:textId="77777777" w:rsidR="00F528DB" w:rsidRPr="003E13C2" w:rsidRDefault="00F528DB" w:rsidP="00F528DB">
            <w:pPr>
              <w:widowControl/>
              <w:tabs>
                <w:tab w:val="left" w:pos="426"/>
              </w:tabs>
              <w:jc w:val="right"/>
              <w:rPr>
                <w:rFonts w:ascii="Arial" w:hAnsi="Arial" w:cs="Arial"/>
              </w:rPr>
            </w:pPr>
          </w:p>
        </w:tc>
      </w:tr>
      <w:tr w:rsidR="0099098D" w:rsidRPr="003E13C2" w14:paraId="05773FDE" w14:textId="77777777" w:rsidTr="005B0256">
        <w:trPr>
          <w:gridBefore w:val="1"/>
          <w:gridAfter w:val="1"/>
          <w:wBefore w:w="497" w:type="dxa"/>
          <w:wAfter w:w="342" w:type="dxa"/>
          <w:trHeight w:hRule="exact" w:val="283"/>
        </w:trPr>
        <w:tc>
          <w:tcPr>
            <w:tcW w:w="780" w:type="dxa"/>
            <w:gridSpan w:val="2"/>
          </w:tcPr>
          <w:p w14:paraId="15AB2A24" w14:textId="24EE72D2" w:rsidR="0099098D" w:rsidRPr="003E13C2" w:rsidRDefault="0099098D" w:rsidP="005B0256">
            <w:pPr>
              <w:widowControl/>
              <w:tabs>
                <w:tab w:val="left" w:pos="426"/>
              </w:tabs>
              <w:jc w:val="right"/>
              <w:rPr>
                <w:rFonts w:ascii="Arial" w:hAnsi="Arial" w:cs="Arial"/>
              </w:rPr>
            </w:pPr>
            <w:r>
              <w:rPr>
                <w:rFonts w:ascii="Arial" w:hAnsi="Arial" w:cs="Arial"/>
              </w:rPr>
              <w:t>T4b</w:t>
            </w:r>
            <w:r w:rsidRPr="003E13C2">
              <w:rPr>
                <w:rFonts w:ascii="Arial" w:hAnsi="Arial" w:cs="Arial"/>
              </w:rPr>
              <w:t>.</w:t>
            </w:r>
          </w:p>
        </w:tc>
        <w:tc>
          <w:tcPr>
            <w:tcW w:w="7725" w:type="dxa"/>
          </w:tcPr>
          <w:p w14:paraId="627C5828" w14:textId="06C9147B" w:rsidR="0099098D" w:rsidRPr="003E13C2" w:rsidRDefault="0099098D" w:rsidP="005B0256">
            <w:pPr>
              <w:pStyle w:val="Pta"/>
              <w:widowControl/>
              <w:tabs>
                <w:tab w:val="clear" w:pos="4536"/>
                <w:tab w:val="clear" w:pos="9072"/>
                <w:tab w:val="left" w:pos="426"/>
              </w:tabs>
              <w:ind w:right="-219"/>
              <w:rPr>
                <w:rFonts w:ascii="Arial" w:hAnsi="Arial" w:cs="Arial"/>
                <w:sz w:val="22"/>
              </w:rPr>
            </w:pPr>
            <w:r w:rsidRPr="0099098D">
              <w:rPr>
                <w:rFonts w:ascii="Arial" w:hAnsi="Arial" w:cs="Arial"/>
                <w:sz w:val="22"/>
              </w:rPr>
              <w:t xml:space="preserve">Hrubý domáci produkt podľa zložiek výdavkov v bežných cenách </w:t>
            </w:r>
            <w:r w:rsidR="00C26168">
              <w:rPr>
                <w:rFonts w:ascii="Arial" w:hAnsi="Arial" w:cs="Arial"/>
                <w:sz w:val="22"/>
              </w:rPr>
              <w:t>–</w:t>
            </w:r>
            <w:r w:rsidRPr="0099098D">
              <w:rPr>
                <w:rFonts w:ascii="Arial" w:hAnsi="Arial" w:cs="Arial"/>
                <w:sz w:val="22"/>
              </w:rPr>
              <w:t xml:space="preserve"> </w:t>
            </w:r>
            <w:r w:rsidR="00C26168">
              <w:rPr>
                <w:rFonts w:ascii="Arial" w:hAnsi="Arial" w:cs="Arial"/>
                <w:sz w:val="22"/>
              </w:rPr>
              <w:t>ročne</w:t>
            </w:r>
          </w:p>
        </w:tc>
        <w:tc>
          <w:tcPr>
            <w:tcW w:w="162" w:type="dxa"/>
          </w:tcPr>
          <w:p w14:paraId="574ECF65" w14:textId="77777777" w:rsidR="0099098D" w:rsidRPr="003E13C2" w:rsidRDefault="0099098D" w:rsidP="005B0256">
            <w:pPr>
              <w:widowControl/>
              <w:tabs>
                <w:tab w:val="left" w:pos="426"/>
              </w:tabs>
              <w:jc w:val="right"/>
              <w:rPr>
                <w:rFonts w:ascii="Arial" w:hAnsi="Arial" w:cs="Arial"/>
              </w:rPr>
            </w:pPr>
          </w:p>
        </w:tc>
      </w:tr>
      <w:tr w:rsidR="00F528DB" w:rsidRPr="003E13C2" w14:paraId="049F11FF" w14:textId="77777777" w:rsidTr="00F528DB">
        <w:trPr>
          <w:gridBefore w:val="1"/>
          <w:gridAfter w:val="1"/>
          <w:wBefore w:w="497" w:type="dxa"/>
          <w:wAfter w:w="342" w:type="dxa"/>
          <w:trHeight w:hRule="exact" w:val="575"/>
        </w:trPr>
        <w:tc>
          <w:tcPr>
            <w:tcW w:w="780" w:type="dxa"/>
            <w:gridSpan w:val="2"/>
          </w:tcPr>
          <w:p w14:paraId="4399B926" w14:textId="6AB7B575" w:rsidR="00F528DB" w:rsidRPr="003E13C2" w:rsidRDefault="00F528DB" w:rsidP="00F528DB">
            <w:pPr>
              <w:widowControl/>
              <w:tabs>
                <w:tab w:val="left" w:pos="426"/>
              </w:tabs>
              <w:jc w:val="right"/>
              <w:rPr>
                <w:rFonts w:ascii="Arial" w:hAnsi="Arial" w:cs="Arial"/>
              </w:rPr>
            </w:pPr>
            <w:r>
              <w:rPr>
                <w:rFonts w:ascii="Arial" w:hAnsi="Arial" w:cs="Arial"/>
              </w:rPr>
              <w:t>T5</w:t>
            </w:r>
            <w:r w:rsidR="0099098D">
              <w:rPr>
                <w:rFonts w:ascii="Arial" w:hAnsi="Arial" w:cs="Arial"/>
              </w:rPr>
              <w:t>a</w:t>
            </w:r>
            <w:r w:rsidRPr="003E13C2">
              <w:rPr>
                <w:rFonts w:ascii="Arial" w:hAnsi="Arial" w:cs="Arial"/>
              </w:rPr>
              <w:t>.</w:t>
            </w:r>
          </w:p>
        </w:tc>
        <w:tc>
          <w:tcPr>
            <w:tcW w:w="7725" w:type="dxa"/>
          </w:tcPr>
          <w:p w14:paraId="7F80A852" w14:textId="6809175D" w:rsidR="00F528DB" w:rsidRPr="003E13C2" w:rsidRDefault="00F528DB" w:rsidP="00F528DB">
            <w:pPr>
              <w:widowControl/>
              <w:tabs>
                <w:tab w:val="left" w:pos="426"/>
              </w:tabs>
              <w:rPr>
                <w:rFonts w:ascii="Arial" w:hAnsi="Arial" w:cs="Arial"/>
              </w:rPr>
            </w:pPr>
            <w:r w:rsidRPr="003E13C2">
              <w:rPr>
                <w:rFonts w:ascii="Arial" w:hAnsi="Arial" w:cs="Arial"/>
              </w:rPr>
              <w:t xml:space="preserve">Hrubý domáci produkt podľa odvetví v stálych cenách vypočítaných reťazením objemov </w:t>
            </w:r>
            <w:r>
              <w:rPr>
                <w:rFonts w:ascii="Arial" w:hAnsi="Arial" w:cs="Arial"/>
              </w:rPr>
              <w:t>–</w:t>
            </w:r>
            <w:r w:rsidRPr="003E13C2">
              <w:rPr>
                <w:rFonts w:ascii="Arial" w:hAnsi="Arial" w:cs="Arial"/>
              </w:rPr>
              <w:t xml:space="preserve"> štvrťročne</w:t>
            </w:r>
          </w:p>
          <w:p w14:paraId="47C30305" w14:textId="77777777" w:rsidR="00F528DB" w:rsidRPr="003E13C2" w:rsidRDefault="00F528DB" w:rsidP="00F528DB">
            <w:pPr>
              <w:widowControl/>
              <w:tabs>
                <w:tab w:val="left" w:pos="426"/>
              </w:tabs>
              <w:rPr>
                <w:rFonts w:ascii="Arial" w:hAnsi="Arial" w:cs="Arial"/>
              </w:rPr>
            </w:pPr>
            <w:r w:rsidRPr="003E13C2">
              <w:rPr>
                <w:rFonts w:ascii="Arial" w:hAnsi="Arial" w:cs="Arial"/>
              </w:rPr>
              <w:t> </w:t>
            </w:r>
          </w:p>
        </w:tc>
        <w:tc>
          <w:tcPr>
            <w:tcW w:w="162" w:type="dxa"/>
          </w:tcPr>
          <w:p w14:paraId="1F57C14B" w14:textId="77777777" w:rsidR="00F528DB" w:rsidRPr="003E13C2" w:rsidRDefault="00F528DB" w:rsidP="00F528DB">
            <w:pPr>
              <w:widowControl/>
              <w:tabs>
                <w:tab w:val="left" w:pos="426"/>
              </w:tabs>
              <w:jc w:val="center"/>
              <w:rPr>
                <w:rFonts w:ascii="Arial" w:hAnsi="Arial" w:cs="Arial"/>
              </w:rPr>
            </w:pPr>
          </w:p>
        </w:tc>
      </w:tr>
      <w:tr w:rsidR="0099098D" w:rsidRPr="003E13C2" w14:paraId="2997C788" w14:textId="77777777" w:rsidTr="005B0256">
        <w:trPr>
          <w:gridBefore w:val="1"/>
          <w:gridAfter w:val="1"/>
          <w:wBefore w:w="497" w:type="dxa"/>
          <w:wAfter w:w="342" w:type="dxa"/>
          <w:trHeight w:hRule="exact" w:val="575"/>
        </w:trPr>
        <w:tc>
          <w:tcPr>
            <w:tcW w:w="780" w:type="dxa"/>
            <w:gridSpan w:val="2"/>
          </w:tcPr>
          <w:p w14:paraId="6EE6F7C5" w14:textId="14544CD0" w:rsidR="0099098D" w:rsidRPr="003E13C2" w:rsidRDefault="0099098D" w:rsidP="005B0256">
            <w:pPr>
              <w:widowControl/>
              <w:tabs>
                <w:tab w:val="left" w:pos="426"/>
              </w:tabs>
              <w:jc w:val="right"/>
              <w:rPr>
                <w:rFonts w:ascii="Arial" w:hAnsi="Arial" w:cs="Arial"/>
              </w:rPr>
            </w:pPr>
            <w:r>
              <w:rPr>
                <w:rFonts w:ascii="Arial" w:hAnsi="Arial" w:cs="Arial"/>
              </w:rPr>
              <w:t>T5b</w:t>
            </w:r>
            <w:r w:rsidRPr="003E13C2">
              <w:rPr>
                <w:rFonts w:ascii="Arial" w:hAnsi="Arial" w:cs="Arial"/>
              </w:rPr>
              <w:t>.</w:t>
            </w:r>
          </w:p>
        </w:tc>
        <w:tc>
          <w:tcPr>
            <w:tcW w:w="7725" w:type="dxa"/>
          </w:tcPr>
          <w:p w14:paraId="2DBC257F" w14:textId="705E50C2" w:rsidR="0099098D" w:rsidRPr="003E13C2" w:rsidRDefault="0099098D" w:rsidP="005B0256">
            <w:pPr>
              <w:widowControl/>
              <w:tabs>
                <w:tab w:val="left" w:pos="426"/>
              </w:tabs>
              <w:rPr>
                <w:rFonts w:ascii="Arial" w:hAnsi="Arial" w:cs="Arial"/>
              </w:rPr>
            </w:pPr>
            <w:r w:rsidRPr="003E13C2">
              <w:rPr>
                <w:rFonts w:ascii="Arial" w:hAnsi="Arial" w:cs="Arial"/>
              </w:rPr>
              <w:t xml:space="preserve">Hrubý domáci produkt podľa odvetví v stálych cenách vypočítaných reťazením objemov </w:t>
            </w:r>
            <w:r>
              <w:rPr>
                <w:rFonts w:ascii="Arial" w:hAnsi="Arial" w:cs="Arial"/>
              </w:rPr>
              <w:t>–</w:t>
            </w:r>
            <w:r w:rsidRPr="003E13C2">
              <w:rPr>
                <w:rFonts w:ascii="Arial" w:hAnsi="Arial" w:cs="Arial"/>
              </w:rPr>
              <w:t xml:space="preserve"> </w:t>
            </w:r>
            <w:r w:rsidR="00C26168">
              <w:rPr>
                <w:rFonts w:ascii="Arial" w:hAnsi="Arial" w:cs="Arial"/>
              </w:rPr>
              <w:t>ročne</w:t>
            </w:r>
          </w:p>
          <w:p w14:paraId="25F74664" w14:textId="77777777" w:rsidR="0099098D" w:rsidRPr="003E13C2" w:rsidRDefault="0099098D" w:rsidP="005B0256">
            <w:pPr>
              <w:widowControl/>
              <w:tabs>
                <w:tab w:val="left" w:pos="426"/>
              </w:tabs>
              <w:rPr>
                <w:rFonts w:ascii="Arial" w:hAnsi="Arial" w:cs="Arial"/>
              </w:rPr>
            </w:pPr>
            <w:r w:rsidRPr="003E13C2">
              <w:rPr>
                <w:rFonts w:ascii="Arial" w:hAnsi="Arial" w:cs="Arial"/>
              </w:rPr>
              <w:t> </w:t>
            </w:r>
          </w:p>
        </w:tc>
        <w:tc>
          <w:tcPr>
            <w:tcW w:w="162" w:type="dxa"/>
          </w:tcPr>
          <w:p w14:paraId="1A542839" w14:textId="77777777" w:rsidR="0099098D" w:rsidRPr="003E13C2" w:rsidRDefault="0099098D" w:rsidP="005B0256">
            <w:pPr>
              <w:widowControl/>
              <w:tabs>
                <w:tab w:val="left" w:pos="426"/>
              </w:tabs>
              <w:jc w:val="center"/>
              <w:rPr>
                <w:rFonts w:ascii="Arial" w:hAnsi="Arial" w:cs="Arial"/>
              </w:rPr>
            </w:pPr>
          </w:p>
        </w:tc>
      </w:tr>
      <w:tr w:rsidR="00F528DB" w:rsidRPr="003E13C2" w14:paraId="22A6A840" w14:textId="77777777" w:rsidTr="00F528DB">
        <w:trPr>
          <w:gridBefore w:val="1"/>
          <w:gridAfter w:val="1"/>
          <w:wBefore w:w="497" w:type="dxa"/>
          <w:wAfter w:w="342" w:type="dxa"/>
          <w:trHeight w:hRule="exact" w:val="293"/>
        </w:trPr>
        <w:tc>
          <w:tcPr>
            <w:tcW w:w="780" w:type="dxa"/>
            <w:gridSpan w:val="2"/>
          </w:tcPr>
          <w:p w14:paraId="5E326AF1" w14:textId="6D4A8E8F" w:rsidR="00F528DB" w:rsidRPr="003E13C2" w:rsidRDefault="00F528DB" w:rsidP="00F528DB">
            <w:pPr>
              <w:widowControl/>
              <w:tabs>
                <w:tab w:val="left" w:pos="426"/>
              </w:tabs>
              <w:jc w:val="right"/>
              <w:rPr>
                <w:rFonts w:ascii="Arial" w:hAnsi="Arial" w:cs="Arial"/>
              </w:rPr>
            </w:pPr>
            <w:r>
              <w:rPr>
                <w:rFonts w:ascii="Arial" w:hAnsi="Arial" w:cs="Arial"/>
              </w:rPr>
              <w:t>T6</w:t>
            </w:r>
            <w:r w:rsidR="0099098D">
              <w:rPr>
                <w:rFonts w:ascii="Arial" w:hAnsi="Arial" w:cs="Arial"/>
              </w:rPr>
              <w:t>a</w:t>
            </w:r>
            <w:r w:rsidRPr="003E13C2">
              <w:rPr>
                <w:rFonts w:ascii="Arial" w:hAnsi="Arial" w:cs="Arial"/>
              </w:rPr>
              <w:t>.</w:t>
            </w:r>
          </w:p>
        </w:tc>
        <w:tc>
          <w:tcPr>
            <w:tcW w:w="7725" w:type="dxa"/>
          </w:tcPr>
          <w:p w14:paraId="4F3D781E" w14:textId="77777777" w:rsidR="00F528DB" w:rsidRPr="003E13C2" w:rsidRDefault="00F528DB" w:rsidP="00F528DB">
            <w:pPr>
              <w:widowControl/>
              <w:tabs>
                <w:tab w:val="left" w:pos="426"/>
              </w:tabs>
              <w:rPr>
                <w:rFonts w:ascii="Arial" w:hAnsi="Arial" w:cs="Arial"/>
              </w:rPr>
            </w:pPr>
            <w:r w:rsidRPr="003E13C2">
              <w:rPr>
                <w:rFonts w:ascii="Arial" w:hAnsi="Arial" w:cs="Arial"/>
              </w:rPr>
              <w:t>Hrubý domáci produkt podľa odvetví v bežných cenách - štvrťročne</w:t>
            </w:r>
          </w:p>
        </w:tc>
        <w:tc>
          <w:tcPr>
            <w:tcW w:w="162" w:type="dxa"/>
          </w:tcPr>
          <w:p w14:paraId="0435E534" w14:textId="77777777" w:rsidR="00F528DB" w:rsidRPr="003E13C2" w:rsidRDefault="00F528DB" w:rsidP="00F528DB">
            <w:pPr>
              <w:widowControl/>
              <w:tabs>
                <w:tab w:val="left" w:pos="426"/>
              </w:tabs>
              <w:jc w:val="center"/>
              <w:rPr>
                <w:rFonts w:ascii="Arial" w:hAnsi="Arial" w:cs="Arial"/>
              </w:rPr>
            </w:pPr>
          </w:p>
        </w:tc>
      </w:tr>
      <w:tr w:rsidR="0099098D" w:rsidRPr="003E13C2" w14:paraId="338D137B" w14:textId="77777777" w:rsidTr="005B0256">
        <w:trPr>
          <w:gridBefore w:val="1"/>
          <w:gridAfter w:val="1"/>
          <w:wBefore w:w="497" w:type="dxa"/>
          <w:wAfter w:w="342" w:type="dxa"/>
          <w:trHeight w:hRule="exact" w:val="293"/>
        </w:trPr>
        <w:tc>
          <w:tcPr>
            <w:tcW w:w="780" w:type="dxa"/>
            <w:gridSpan w:val="2"/>
          </w:tcPr>
          <w:p w14:paraId="275DCC94" w14:textId="66CB26EE" w:rsidR="0099098D" w:rsidRPr="003E13C2" w:rsidRDefault="0099098D" w:rsidP="005B0256">
            <w:pPr>
              <w:widowControl/>
              <w:tabs>
                <w:tab w:val="left" w:pos="426"/>
              </w:tabs>
              <w:jc w:val="right"/>
              <w:rPr>
                <w:rFonts w:ascii="Arial" w:hAnsi="Arial" w:cs="Arial"/>
              </w:rPr>
            </w:pPr>
            <w:r>
              <w:rPr>
                <w:rFonts w:ascii="Arial" w:hAnsi="Arial" w:cs="Arial"/>
              </w:rPr>
              <w:t>T6b</w:t>
            </w:r>
            <w:r w:rsidRPr="003E13C2">
              <w:rPr>
                <w:rFonts w:ascii="Arial" w:hAnsi="Arial" w:cs="Arial"/>
              </w:rPr>
              <w:t>.</w:t>
            </w:r>
          </w:p>
        </w:tc>
        <w:tc>
          <w:tcPr>
            <w:tcW w:w="7725" w:type="dxa"/>
          </w:tcPr>
          <w:p w14:paraId="547E245A" w14:textId="75920BFC" w:rsidR="0099098D" w:rsidRPr="003E13C2" w:rsidRDefault="0099098D" w:rsidP="005B0256">
            <w:pPr>
              <w:widowControl/>
              <w:tabs>
                <w:tab w:val="left" w:pos="426"/>
              </w:tabs>
              <w:rPr>
                <w:rFonts w:ascii="Arial" w:hAnsi="Arial" w:cs="Arial"/>
              </w:rPr>
            </w:pPr>
            <w:r w:rsidRPr="003E13C2">
              <w:rPr>
                <w:rFonts w:ascii="Arial" w:hAnsi="Arial" w:cs="Arial"/>
              </w:rPr>
              <w:t xml:space="preserve">Hrubý domáci produkt podľa odvetví v bežných cenách - </w:t>
            </w:r>
            <w:r w:rsidR="00C26168">
              <w:rPr>
                <w:rFonts w:ascii="Arial" w:hAnsi="Arial" w:cs="Arial"/>
              </w:rPr>
              <w:t>ročne</w:t>
            </w:r>
          </w:p>
        </w:tc>
        <w:tc>
          <w:tcPr>
            <w:tcW w:w="162" w:type="dxa"/>
          </w:tcPr>
          <w:p w14:paraId="064581B1" w14:textId="77777777" w:rsidR="0099098D" w:rsidRPr="003E13C2" w:rsidRDefault="0099098D" w:rsidP="005B0256">
            <w:pPr>
              <w:widowControl/>
              <w:tabs>
                <w:tab w:val="left" w:pos="426"/>
              </w:tabs>
              <w:jc w:val="center"/>
              <w:rPr>
                <w:rFonts w:ascii="Arial" w:hAnsi="Arial" w:cs="Arial"/>
              </w:rPr>
            </w:pPr>
          </w:p>
        </w:tc>
      </w:tr>
      <w:tr w:rsidR="00C26168" w:rsidRPr="003E13C2" w14:paraId="19D94D62" w14:textId="77777777" w:rsidTr="005B0256">
        <w:trPr>
          <w:gridBefore w:val="1"/>
          <w:gridAfter w:val="1"/>
          <w:wBefore w:w="497" w:type="dxa"/>
          <w:wAfter w:w="342" w:type="dxa"/>
          <w:trHeight w:hRule="exact" w:val="293"/>
        </w:trPr>
        <w:tc>
          <w:tcPr>
            <w:tcW w:w="780" w:type="dxa"/>
            <w:gridSpan w:val="2"/>
          </w:tcPr>
          <w:p w14:paraId="06B51825" w14:textId="23E81BFB" w:rsidR="00C26168" w:rsidRDefault="00C26168" w:rsidP="00C26168">
            <w:pPr>
              <w:widowControl/>
              <w:tabs>
                <w:tab w:val="left" w:pos="426"/>
              </w:tabs>
              <w:jc w:val="right"/>
              <w:rPr>
                <w:rFonts w:ascii="Arial" w:hAnsi="Arial" w:cs="Arial"/>
              </w:rPr>
            </w:pPr>
            <w:r>
              <w:rPr>
                <w:rFonts w:ascii="Arial" w:hAnsi="Arial" w:cs="Arial"/>
              </w:rPr>
              <w:t>T</w:t>
            </w:r>
            <w:r w:rsidRPr="003E13C2">
              <w:rPr>
                <w:rFonts w:ascii="Arial" w:hAnsi="Arial" w:cs="Arial"/>
              </w:rPr>
              <w:t>7</w:t>
            </w:r>
            <w:r>
              <w:rPr>
                <w:rFonts w:ascii="Arial" w:hAnsi="Arial" w:cs="Arial"/>
              </w:rPr>
              <w:t>a</w:t>
            </w:r>
            <w:r w:rsidRPr="003E13C2">
              <w:rPr>
                <w:rFonts w:ascii="Arial" w:hAnsi="Arial" w:cs="Arial"/>
              </w:rPr>
              <w:t>.</w:t>
            </w:r>
          </w:p>
        </w:tc>
        <w:tc>
          <w:tcPr>
            <w:tcW w:w="7725" w:type="dxa"/>
          </w:tcPr>
          <w:p w14:paraId="6C6BF38B" w14:textId="37673800" w:rsidR="00C26168" w:rsidRPr="003E13C2" w:rsidRDefault="007F41DE" w:rsidP="00C26168">
            <w:pPr>
              <w:widowControl/>
              <w:tabs>
                <w:tab w:val="left" w:pos="426"/>
              </w:tabs>
              <w:rPr>
                <w:rFonts w:ascii="Arial" w:hAnsi="Arial" w:cs="Arial"/>
              </w:rPr>
            </w:pPr>
            <w:r w:rsidRPr="007F41DE">
              <w:rPr>
                <w:rFonts w:ascii="Arial" w:hAnsi="Arial" w:cs="Arial"/>
              </w:rPr>
              <w:t>Celková zamestnanosť podľa ESA 2010</w:t>
            </w:r>
          </w:p>
        </w:tc>
        <w:tc>
          <w:tcPr>
            <w:tcW w:w="162" w:type="dxa"/>
          </w:tcPr>
          <w:p w14:paraId="046B0CDE" w14:textId="77777777" w:rsidR="00C26168" w:rsidRPr="003E13C2" w:rsidRDefault="00C26168" w:rsidP="00C26168">
            <w:pPr>
              <w:widowControl/>
              <w:tabs>
                <w:tab w:val="left" w:pos="426"/>
              </w:tabs>
              <w:jc w:val="center"/>
              <w:rPr>
                <w:rFonts w:ascii="Arial" w:hAnsi="Arial" w:cs="Arial"/>
              </w:rPr>
            </w:pPr>
          </w:p>
        </w:tc>
      </w:tr>
      <w:tr w:rsidR="00C26168" w:rsidRPr="003E13C2" w14:paraId="2D27FC06" w14:textId="77777777" w:rsidTr="005B0256">
        <w:trPr>
          <w:gridBefore w:val="1"/>
          <w:gridAfter w:val="1"/>
          <w:wBefore w:w="497" w:type="dxa"/>
          <w:wAfter w:w="342" w:type="dxa"/>
          <w:trHeight w:hRule="exact" w:val="293"/>
        </w:trPr>
        <w:tc>
          <w:tcPr>
            <w:tcW w:w="780" w:type="dxa"/>
            <w:gridSpan w:val="2"/>
          </w:tcPr>
          <w:p w14:paraId="7DD3C482" w14:textId="1A862761" w:rsidR="00C26168" w:rsidRDefault="00C26168" w:rsidP="00C26168">
            <w:pPr>
              <w:widowControl/>
              <w:tabs>
                <w:tab w:val="left" w:pos="426"/>
              </w:tabs>
              <w:jc w:val="right"/>
              <w:rPr>
                <w:rFonts w:ascii="Arial" w:hAnsi="Arial" w:cs="Arial"/>
              </w:rPr>
            </w:pPr>
            <w:r>
              <w:rPr>
                <w:rFonts w:ascii="Arial" w:hAnsi="Arial" w:cs="Arial"/>
              </w:rPr>
              <w:t>T</w:t>
            </w:r>
            <w:r w:rsidRPr="003E13C2">
              <w:rPr>
                <w:rFonts w:ascii="Arial" w:hAnsi="Arial" w:cs="Arial"/>
              </w:rPr>
              <w:t>7</w:t>
            </w:r>
            <w:r>
              <w:rPr>
                <w:rFonts w:ascii="Arial" w:hAnsi="Arial" w:cs="Arial"/>
              </w:rPr>
              <w:t>b</w:t>
            </w:r>
            <w:r w:rsidRPr="003E13C2">
              <w:rPr>
                <w:rFonts w:ascii="Arial" w:hAnsi="Arial" w:cs="Arial"/>
              </w:rPr>
              <w:t>.</w:t>
            </w:r>
          </w:p>
        </w:tc>
        <w:tc>
          <w:tcPr>
            <w:tcW w:w="7725" w:type="dxa"/>
          </w:tcPr>
          <w:p w14:paraId="4026B4F9" w14:textId="3AC48590" w:rsidR="00C26168" w:rsidRPr="003E13C2" w:rsidRDefault="007F41DE" w:rsidP="00C26168">
            <w:pPr>
              <w:widowControl/>
              <w:tabs>
                <w:tab w:val="left" w:pos="426"/>
              </w:tabs>
              <w:rPr>
                <w:rFonts w:ascii="Arial" w:hAnsi="Arial" w:cs="Arial"/>
              </w:rPr>
            </w:pPr>
            <w:r w:rsidRPr="007F41DE">
              <w:rPr>
                <w:rFonts w:ascii="Arial" w:hAnsi="Arial" w:cs="Arial"/>
              </w:rPr>
              <w:t>Produktivita práce podľa ESA 2010</w:t>
            </w:r>
          </w:p>
        </w:tc>
        <w:tc>
          <w:tcPr>
            <w:tcW w:w="162" w:type="dxa"/>
          </w:tcPr>
          <w:p w14:paraId="27F99724" w14:textId="77777777" w:rsidR="00C26168" w:rsidRPr="003E13C2" w:rsidRDefault="00C26168" w:rsidP="00C26168">
            <w:pPr>
              <w:widowControl/>
              <w:tabs>
                <w:tab w:val="left" w:pos="426"/>
              </w:tabs>
              <w:jc w:val="center"/>
              <w:rPr>
                <w:rFonts w:ascii="Arial" w:hAnsi="Arial" w:cs="Arial"/>
              </w:rPr>
            </w:pPr>
          </w:p>
        </w:tc>
      </w:tr>
      <w:tr w:rsidR="00C26168" w:rsidRPr="003E13C2" w14:paraId="31B6A7DC" w14:textId="77777777" w:rsidTr="00F528DB">
        <w:trPr>
          <w:gridBefore w:val="1"/>
          <w:gridAfter w:val="1"/>
          <w:wBefore w:w="497" w:type="dxa"/>
          <w:wAfter w:w="342" w:type="dxa"/>
          <w:trHeight w:hRule="exact" w:val="278"/>
        </w:trPr>
        <w:tc>
          <w:tcPr>
            <w:tcW w:w="780" w:type="dxa"/>
            <w:gridSpan w:val="2"/>
          </w:tcPr>
          <w:p w14:paraId="68F356D8" w14:textId="78EEC84D" w:rsidR="00C26168" w:rsidRPr="003E13C2" w:rsidRDefault="00C26168" w:rsidP="00C26168">
            <w:pPr>
              <w:widowControl/>
              <w:tabs>
                <w:tab w:val="left" w:pos="426"/>
              </w:tabs>
              <w:jc w:val="right"/>
              <w:rPr>
                <w:rFonts w:ascii="Arial" w:hAnsi="Arial" w:cs="Arial"/>
              </w:rPr>
            </w:pPr>
            <w:r>
              <w:rPr>
                <w:rFonts w:ascii="Arial" w:hAnsi="Arial" w:cs="Arial"/>
              </w:rPr>
              <w:t>T8</w:t>
            </w:r>
            <w:r w:rsidRPr="003E13C2">
              <w:rPr>
                <w:rFonts w:ascii="Arial" w:hAnsi="Arial" w:cs="Arial"/>
              </w:rPr>
              <w:t>.</w:t>
            </w:r>
          </w:p>
        </w:tc>
        <w:tc>
          <w:tcPr>
            <w:tcW w:w="7725" w:type="dxa"/>
          </w:tcPr>
          <w:p w14:paraId="5A5799F9" w14:textId="77777777" w:rsidR="00C26168" w:rsidRPr="003E13C2" w:rsidRDefault="00C26168" w:rsidP="00C26168">
            <w:pPr>
              <w:widowControl/>
              <w:tabs>
                <w:tab w:val="left" w:pos="426"/>
              </w:tabs>
              <w:rPr>
                <w:rFonts w:ascii="Arial" w:hAnsi="Arial" w:cs="Arial"/>
              </w:rPr>
            </w:pPr>
            <w:r w:rsidRPr="003E13C2">
              <w:rPr>
                <w:rFonts w:ascii="Arial" w:hAnsi="Arial" w:cs="Arial"/>
              </w:rPr>
              <w:t xml:space="preserve">Prírastok fixných aktív podľa sektorov národných účtov </w:t>
            </w:r>
          </w:p>
        </w:tc>
        <w:tc>
          <w:tcPr>
            <w:tcW w:w="162" w:type="dxa"/>
          </w:tcPr>
          <w:p w14:paraId="6DBAC8CF" w14:textId="77777777" w:rsidR="00C26168" w:rsidRPr="003E13C2" w:rsidRDefault="00C26168" w:rsidP="00C26168">
            <w:pPr>
              <w:widowControl/>
              <w:tabs>
                <w:tab w:val="left" w:pos="426"/>
              </w:tabs>
              <w:jc w:val="right"/>
              <w:rPr>
                <w:rFonts w:ascii="Arial" w:hAnsi="Arial" w:cs="Arial"/>
              </w:rPr>
            </w:pPr>
          </w:p>
        </w:tc>
      </w:tr>
      <w:tr w:rsidR="00C26168" w:rsidRPr="003E13C2" w14:paraId="576A5FAF" w14:textId="77777777" w:rsidTr="00F528DB">
        <w:trPr>
          <w:gridBefore w:val="1"/>
          <w:gridAfter w:val="1"/>
          <w:wBefore w:w="497" w:type="dxa"/>
          <w:wAfter w:w="342" w:type="dxa"/>
          <w:trHeight w:hRule="exact" w:val="278"/>
        </w:trPr>
        <w:tc>
          <w:tcPr>
            <w:tcW w:w="780" w:type="dxa"/>
            <w:gridSpan w:val="2"/>
          </w:tcPr>
          <w:p w14:paraId="475263BC" w14:textId="0AE7CDC1" w:rsidR="00C26168" w:rsidRPr="003E13C2" w:rsidRDefault="00C26168" w:rsidP="00C26168">
            <w:pPr>
              <w:widowControl/>
              <w:tabs>
                <w:tab w:val="left" w:pos="426"/>
              </w:tabs>
              <w:jc w:val="right"/>
              <w:rPr>
                <w:rFonts w:ascii="Arial" w:hAnsi="Arial" w:cs="Arial"/>
              </w:rPr>
            </w:pPr>
            <w:r>
              <w:rPr>
                <w:rFonts w:ascii="Arial" w:hAnsi="Arial" w:cs="Arial"/>
              </w:rPr>
              <w:t>T9</w:t>
            </w:r>
            <w:r w:rsidRPr="003E13C2">
              <w:rPr>
                <w:rFonts w:ascii="Arial" w:hAnsi="Arial" w:cs="Arial"/>
              </w:rPr>
              <w:t>.</w:t>
            </w:r>
          </w:p>
        </w:tc>
        <w:tc>
          <w:tcPr>
            <w:tcW w:w="7725" w:type="dxa"/>
          </w:tcPr>
          <w:p w14:paraId="3EC901B5" w14:textId="77777777" w:rsidR="00C26168" w:rsidRPr="003E13C2" w:rsidRDefault="00C26168" w:rsidP="00C26168">
            <w:pPr>
              <w:widowControl/>
              <w:tabs>
                <w:tab w:val="left" w:pos="426"/>
              </w:tabs>
              <w:rPr>
                <w:rFonts w:ascii="Arial" w:hAnsi="Arial" w:cs="Arial"/>
              </w:rPr>
            </w:pPr>
            <w:r w:rsidRPr="003E13C2">
              <w:rPr>
                <w:rFonts w:ascii="Arial" w:hAnsi="Arial" w:cs="Arial"/>
              </w:rPr>
              <w:t>Tvorba hrubého fixného kapitálu podľa klasifikácie produkcie </w:t>
            </w:r>
          </w:p>
        </w:tc>
        <w:tc>
          <w:tcPr>
            <w:tcW w:w="162" w:type="dxa"/>
          </w:tcPr>
          <w:p w14:paraId="40535180" w14:textId="77777777" w:rsidR="00C26168" w:rsidRPr="003E13C2" w:rsidRDefault="00C26168" w:rsidP="00C26168">
            <w:pPr>
              <w:widowControl/>
              <w:tabs>
                <w:tab w:val="left" w:pos="426"/>
              </w:tabs>
              <w:jc w:val="right"/>
              <w:rPr>
                <w:rFonts w:ascii="Arial" w:hAnsi="Arial" w:cs="Arial"/>
              </w:rPr>
            </w:pPr>
          </w:p>
        </w:tc>
      </w:tr>
      <w:tr w:rsidR="00C26168" w:rsidRPr="003E13C2" w14:paraId="5640FA16" w14:textId="77777777" w:rsidTr="00F528DB">
        <w:trPr>
          <w:gridBefore w:val="1"/>
          <w:gridAfter w:val="1"/>
          <w:wBefore w:w="497" w:type="dxa"/>
          <w:wAfter w:w="342" w:type="dxa"/>
          <w:trHeight w:hRule="exact" w:val="278"/>
        </w:trPr>
        <w:tc>
          <w:tcPr>
            <w:tcW w:w="780" w:type="dxa"/>
            <w:gridSpan w:val="2"/>
          </w:tcPr>
          <w:p w14:paraId="26E5A1A8" w14:textId="75173A97" w:rsidR="00C26168" w:rsidRPr="003E13C2" w:rsidRDefault="00C26168" w:rsidP="00C26168">
            <w:pPr>
              <w:widowControl/>
              <w:tabs>
                <w:tab w:val="left" w:pos="426"/>
              </w:tabs>
              <w:jc w:val="right"/>
              <w:rPr>
                <w:rFonts w:ascii="Arial" w:hAnsi="Arial" w:cs="Arial"/>
              </w:rPr>
            </w:pPr>
            <w:r>
              <w:rPr>
                <w:rFonts w:ascii="Arial" w:hAnsi="Arial" w:cs="Arial"/>
              </w:rPr>
              <w:t>T10</w:t>
            </w:r>
            <w:r w:rsidRPr="003E13C2">
              <w:rPr>
                <w:rFonts w:ascii="Arial" w:hAnsi="Arial" w:cs="Arial"/>
              </w:rPr>
              <w:t>.</w:t>
            </w:r>
          </w:p>
        </w:tc>
        <w:tc>
          <w:tcPr>
            <w:tcW w:w="7725" w:type="dxa"/>
          </w:tcPr>
          <w:p w14:paraId="52775EC8" w14:textId="77777777" w:rsidR="00C26168" w:rsidRPr="003E13C2" w:rsidRDefault="00C26168" w:rsidP="00C26168">
            <w:pPr>
              <w:widowControl/>
              <w:tabs>
                <w:tab w:val="left" w:pos="426"/>
              </w:tabs>
              <w:rPr>
                <w:rFonts w:ascii="Arial" w:hAnsi="Arial" w:cs="Arial"/>
              </w:rPr>
            </w:pPr>
            <w:r w:rsidRPr="003E13C2">
              <w:rPr>
                <w:rFonts w:ascii="Arial" w:hAnsi="Arial" w:cs="Arial"/>
              </w:rPr>
              <w:t>Tvorba hrubého fixného kapitálu podľa odvetví v bežných cenách</w:t>
            </w:r>
          </w:p>
        </w:tc>
        <w:tc>
          <w:tcPr>
            <w:tcW w:w="162" w:type="dxa"/>
          </w:tcPr>
          <w:p w14:paraId="487BF3B3" w14:textId="77777777" w:rsidR="00C26168" w:rsidRPr="003E13C2" w:rsidRDefault="00C26168" w:rsidP="00C26168">
            <w:pPr>
              <w:widowControl/>
              <w:tabs>
                <w:tab w:val="left" w:pos="426"/>
              </w:tabs>
              <w:jc w:val="right"/>
              <w:rPr>
                <w:rFonts w:ascii="Arial" w:hAnsi="Arial" w:cs="Arial"/>
              </w:rPr>
            </w:pPr>
          </w:p>
        </w:tc>
      </w:tr>
      <w:tr w:rsidR="00C26168" w:rsidRPr="003E13C2" w14:paraId="0E5F8C92" w14:textId="77777777" w:rsidTr="00F528DB">
        <w:trPr>
          <w:gridBefore w:val="1"/>
          <w:gridAfter w:val="1"/>
          <w:wBefore w:w="497" w:type="dxa"/>
          <w:wAfter w:w="342" w:type="dxa"/>
          <w:trHeight w:hRule="exact" w:val="278"/>
        </w:trPr>
        <w:tc>
          <w:tcPr>
            <w:tcW w:w="780" w:type="dxa"/>
            <w:gridSpan w:val="2"/>
          </w:tcPr>
          <w:p w14:paraId="15C6F297" w14:textId="196E555F"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1</w:t>
            </w:r>
            <w:r w:rsidRPr="003E13C2">
              <w:rPr>
                <w:rFonts w:ascii="Arial" w:hAnsi="Arial" w:cs="Arial"/>
              </w:rPr>
              <w:t>.</w:t>
            </w:r>
          </w:p>
        </w:tc>
        <w:tc>
          <w:tcPr>
            <w:tcW w:w="7725" w:type="dxa"/>
          </w:tcPr>
          <w:p w14:paraId="0C55411B" w14:textId="77777777" w:rsidR="00C26168" w:rsidRPr="003E13C2" w:rsidRDefault="00C26168" w:rsidP="00C26168">
            <w:pPr>
              <w:widowControl/>
              <w:tabs>
                <w:tab w:val="left" w:pos="426"/>
              </w:tabs>
              <w:rPr>
                <w:rFonts w:ascii="Arial" w:hAnsi="Arial" w:cs="Arial"/>
              </w:rPr>
            </w:pPr>
            <w:r w:rsidRPr="003E13C2">
              <w:rPr>
                <w:rFonts w:ascii="Arial" w:hAnsi="Arial" w:cs="Arial"/>
              </w:rPr>
              <w:t>Cenové deflátory HDP a hlavných zložiek výdavkov</w:t>
            </w:r>
          </w:p>
        </w:tc>
        <w:tc>
          <w:tcPr>
            <w:tcW w:w="162" w:type="dxa"/>
          </w:tcPr>
          <w:p w14:paraId="3DAF6FC4" w14:textId="77777777" w:rsidR="00C26168" w:rsidRPr="003E13C2" w:rsidRDefault="00C26168" w:rsidP="00C26168">
            <w:pPr>
              <w:widowControl/>
              <w:tabs>
                <w:tab w:val="left" w:pos="426"/>
              </w:tabs>
              <w:jc w:val="right"/>
              <w:rPr>
                <w:rFonts w:ascii="Arial" w:hAnsi="Arial" w:cs="Arial"/>
              </w:rPr>
            </w:pPr>
          </w:p>
        </w:tc>
      </w:tr>
      <w:tr w:rsidR="00C26168" w:rsidRPr="003E13C2" w14:paraId="0AF40B45" w14:textId="77777777" w:rsidTr="00F528DB">
        <w:trPr>
          <w:gridBefore w:val="1"/>
          <w:gridAfter w:val="1"/>
          <w:wBefore w:w="497" w:type="dxa"/>
          <w:wAfter w:w="342" w:type="dxa"/>
          <w:trHeight w:hRule="exact" w:val="278"/>
        </w:trPr>
        <w:tc>
          <w:tcPr>
            <w:tcW w:w="780" w:type="dxa"/>
            <w:gridSpan w:val="2"/>
          </w:tcPr>
          <w:p w14:paraId="02A072C4" w14:textId="4DD6C90D"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2</w:t>
            </w:r>
            <w:r w:rsidRPr="003E13C2">
              <w:rPr>
                <w:rFonts w:ascii="Arial" w:hAnsi="Arial" w:cs="Arial"/>
              </w:rPr>
              <w:t>a.</w:t>
            </w:r>
          </w:p>
        </w:tc>
        <w:tc>
          <w:tcPr>
            <w:tcW w:w="7725" w:type="dxa"/>
          </w:tcPr>
          <w:p w14:paraId="6821CBCF" w14:textId="0F5257C6" w:rsidR="00C26168" w:rsidRDefault="00C26168" w:rsidP="00C26168">
            <w:pPr>
              <w:widowControl/>
              <w:tabs>
                <w:tab w:val="left" w:pos="426"/>
              </w:tabs>
              <w:rPr>
                <w:rFonts w:ascii="Arial" w:hAnsi="Arial" w:cs="Arial"/>
              </w:rPr>
            </w:pPr>
            <w:r w:rsidRPr="003E13C2">
              <w:rPr>
                <w:rFonts w:ascii="Arial" w:hAnsi="Arial" w:cs="Arial"/>
              </w:rPr>
              <w:t>Výstavba bytov v SR - dokončené (skolaudované) byty v</w:t>
            </w:r>
            <w:r>
              <w:rPr>
                <w:rFonts w:ascii="Arial" w:hAnsi="Arial" w:cs="Arial"/>
              </w:rPr>
              <w:t>o</w:t>
            </w:r>
            <w:r w:rsidRPr="003E13C2">
              <w:rPr>
                <w:rFonts w:ascii="Arial" w:hAnsi="Arial" w:cs="Arial"/>
              </w:rPr>
              <w:t xml:space="preserve"> </w:t>
            </w:r>
            <w:r>
              <w:rPr>
                <w:rFonts w:ascii="Arial" w:hAnsi="Arial" w:cs="Arial"/>
              </w:rPr>
              <w:t>4</w:t>
            </w:r>
            <w:r w:rsidRPr="003E13C2">
              <w:rPr>
                <w:rFonts w:ascii="Arial" w:hAnsi="Arial" w:cs="Arial"/>
              </w:rPr>
              <w:t>. štvrťroku</w:t>
            </w:r>
          </w:p>
          <w:p w14:paraId="2C034351" w14:textId="77777777" w:rsidR="00C26168" w:rsidRDefault="00C26168" w:rsidP="00C26168">
            <w:pPr>
              <w:widowControl/>
              <w:tabs>
                <w:tab w:val="left" w:pos="426"/>
              </w:tabs>
              <w:rPr>
                <w:rFonts w:ascii="Arial" w:hAnsi="Arial" w:cs="Arial"/>
              </w:rPr>
            </w:pPr>
          </w:p>
          <w:p w14:paraId="1BA0134F" w14:textId="77777777" w:rsidR="00C26168" w:rsidRDefault="00C26168" w:rsidP="00C26168">
            <w:pPr>
              <w:widowControl/>
              <w:tabs>
                <w:tab w:val="left" w:pos="426"/>
              </w:tabs>
              <w:rPr>
                <w:rFonts w:ascii="Arial" w:hAnsi="Arial" w:cs="Arial"/>
              </w:rPr>
            </w:pPr>
          </w:p>
          <w:p w14:paraId="605F85BE" w14:textId="5A92AD4D" w:rsidR="00C26168" w:rsidRPr="003E13C2" w:rsidRDefault="00C26168" w:rsidP="00C26168">
            <w:pPr>
              <w:widowControl/>
              <w:tabs>
                <w:tab w:val="left" w:pos="426"/>
              </w:tabs>
              <w:rPr>
                <w:rFonts w:ascii="Arial" w:hAnsi="Arial" w:cs="Arial"/>
              </w:rPr>
            </w:pPr>
          </w:p>
        </w:tc>
        <w:tc>
          <w:tcPr>
            <w:tcW w:w="162" w:type="dxa"/>
          </w:tcPr>
          <w:p w14:paraId="4B9AC13C" w14:textId="77777777" w:rsidR="00C26168" w:rsidRPr="003E13C2" w:rsidRDefault="00C26168" w:rsidP="00C26168">
            <w:pPr>
              <w:widowControl/>
              <w:tabs>
                <w:tab w:val="left" w:pos="426"/>
              </w:tabs>
              <w:jc w:val="right"/>
              <w:rPr>
                <w:rFonts w:ascii="Arial" w:hAnsi="Arial" w:cs="Arial"/>
              </w:rPr>
            </w:pPr>
          </w:p>
        </w:tc>
      </w:tr>
      <w:tr w:rsidR="00C26168" w:rsidRPr="003E13C2" w14:paraId="4461BEF8" w14:textId="77777777" w:rsidTr="00F528DB">
        <w:trPr>
          <w:gridBefore w:val="1"/>
          <w:gridAfter w:val="1"/>
          <w:wBefore w:w="497" w:type="dxa"/>
          <w:wAfter w:w="342" w:type="dxa"/>
          <w:trHeight w:hRule="exact" w:val="278"/>
        </w:trPr>
        <w:tc>
          <w:tcPr>
            <w:tcW w:w="780" w:type="dxa"/>
            <w:gridSpan w:val="2"/>
          </w:tcPr>
          <w:p w14:paraId="61C8295E" w14:textId="072AAC79" w:rsidR="00C26168" w:rsidRPr="003E13C2" w:rsidRDefault="00C26168" w:rsidP="00C26168">
            <w:pPr>
              <w:widowControl/>
              <w:tabs>
                <w:tab w:val="left" w:pos="426"/>
              </w:tabs>
              <w:jc w:val="right"/>
              <w:rPr>
                <w:rFonts w:ascii="Arial" w:hAnsi="Arial" w:cs="Arial"/>
              </w:rPr>
            </w:pPr>
            <w:r>
              <w:rPr>
                <w:rFonts w:ascii="Arial" w:hAnsi="Arial" w:cs="Arial"/>
              </w:rPr>
              <w:t>b.</w:t>
            </w:r>
          </w:p>
        </w:tc>
        <w:tc>
          <w:tcPr>
            <w:tcW w:w="7725" w:type="dxa"/>
          </w:tcPr>
          <w:p w14:paraId="29664AC7" w14:textId="1293BB05" w:rsidR="00C26168" w:rsidRDefault="00C26168" w:rsidP="00C26168">
            <w:pPr>
              <w:widowControl/>
              <w:tabs>
                <w:tab w:val="left" w:pos="426"/>
              </w:tabs>
              <w:rPr>
                <w:rFonts w:ascii="Arial" w:hAnsi="Arial" w:cs="Arial"/>
              </w:rPr>
            </w:pPr>
            <w:r w:rsidRPr="003E13C2">
              <w:rPr>
                <w:rFonts w:ascii="Arial" w:hAnsi="Arial" w:cs="Arial"/>
              </w:rPr>
              <w:t>Výstavba bytov v SR - dokončené (skolaudované) byty v</w:t>
            </w:r>
            <w:r w:rsidRPr="00A225FD">
              <w:rPr>
                <w:rFonts w:ascii="Arial" w:hAnsi="Arial" w:cs="Arial"/>
              </w:rPr>
              <w:t xml:space="preserve"> </w:t>
            </w:r>
            <w:r>
              <w:rPr>
                <w:rFonts w:ascii="Arial" w:hAnsi="Arial" w:cs="Arial"/>
              </w:rPr>
              <w:t>roku</w:t>
            </w:r>
          </w:p>
          <w:p w14:paraId="544F8B0F" w14:textId="77777777" w:rsidR="00C26168" w:rsidRDefault="00C26168" w:rsidP="00C26168">
            <w:pPr>
              <w:widowControl/>
              <w:tabs>
                <w:tab w:val="left" w:pos="426"/>
              </w:tabs>
              <w:rPr>
                <w:rFonts w:ascii="Arial" w:hAnsi="Arial" w:cs="Arial"/>
              </w:rPr>
            </w:pPr>
          </w:p>
          <w:p w14:paraId="0A96A554" w14:textId="77777777" w:rsidR="00C26168" w:rsidRDefault="00C26168" w:rsidP="00C26168">
            <w:pPr>
              <w:widowControl/>
              <w:tabs>
                <w:tab w:val="left" w:pos="426"/>
              </w:tabs>
              <w:rPr>
                <w:rFonts w:ascii="Arial" w:hAnsi="Arial" w:cs="Arial"/>
              </w:rPr>
            </w:pPr>
          </w:p>
          <w:p w14:paraId="56E7F176" w14:textId="77777777" w:rsidR="00C26168" w:rsidRPr="003E13C2" w:rsidRDefault="00C26168" w:rsidP="00C26168">
            <w:pPr>
              <w:widowControl/>
              <w:tabs>
                <w:tab w:val="left" w:pos="426"/>
              </w:tabs>
              <w:rPr>
                <w:rFonts w:ascii="Arial" w:hAnsi="Arial" w:cs="Arial"/>
              </w:rPr>
            </w:pPr>
          </w:p>
        </w:tc>
        <w:tc>
          <w:tcPr>
            <w:tcW w:w="162" w:type="dxa"/>
          </w:tcPr>
          <w:p w14:paraId="1B270E71" w14:textId="77777777" w:rsidR="00C26168" w:rsidRPr="003E13C2" w:rsidRDefault="00C26168" w:rsidP="00C26168">
            <w:pPr>
              <w:widowControl/>
              <w:tabs>
                <w:tab w:val="left" w:pos="426"/>
              </w:tabs>
              <w:jc w:val="right"/>
              <w:rPr>
                <w:rFonts w:ascii="Arial" w:hAnsi="Arial" w:cs="Arial"/>
              </w:rPr>
            </w:pPr>
          </w:p>
        </w:tc>
      </w:tr>
      <w:tr w:rsidR="00C26168" w:rsidRPr="003E13C2" w14:paraId="612D5F68" w14:textId="77777777" w:rsidTr="00F528DB">
        <w:trPr>
          <w:gridBefore w:val="1"/>
          <w:gridAfter w:val="1"/>
          <w:wBefore w:w="497" w:type="dxa"/>
          <w:wAfter w:w="342" w:type="dxa"/>
          <w:trHeight w:hRule="exact" w:val="278"/>
        </w:trPr>
        <w:tc>
          <w:tcPr>
            <w:tcW w:w="780" w:type="dxa"/>
            <w:gridSpan w:val="2"/>
          </w:tcPr>
          <w:p w14:paraId="2F83C551" w14:textId="3F833DA9" w:rsidR="00C26168" w:rsidRDefault="00C26168" w:rsidP="00C26168">
            <w:pPr>
              <w:widowControl/>
              <w:tabs>
                <w:tab w:val="left" w:pos="426"/>
              </w:tabs>
              <w:jc w:val="right"/>
              <w:rPr>
                <w:rFonts w:ascii="Arial" w:hAnsi="Arial" w:cs="Arial"/>
              </w:rPr>
            </w:pPr>
            <w:r>
              <w:rPr>
                <w:rFonts w:ascii="Arial" w:hAnsi="Arial" w:cs="Arial"/>
              </w:rPr>
              <w:t>c.</w:t>
            </w:r>
          </w:p>
        </w:tc>
        <w:tc>
          <w:tcPr>
            <w:tcW w:w="7725" w:type="dxa"/>
          </w:tcPr>
          <w:p w14:paraId="6D357370" w14:textId="7EE65C3B"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dokončené (skolaudované) byty v</w:t>
            </w:r>
            <w:r>
              <w:rPr>
                <w:rFonts w:ascii="Arial" w:hAnsi="Arial" w:cs="Arial"/>
              </w:rPr>
              <w:t>o</w:t>
            </w:r>
            <w:r w:rsidRPr="00A225FD">
              <w:rPr>
                <w:rFonts w:ascii="Arial" w:hAnsi="Arial" w:cs="Arial"/>
              </w:rPr>
              <w:t xml:space="preserve"> </w:t>
            </w:r>
            <w:r>
              <w:rPr>
                <w:rFonts w:ascii="Arial" w:hAnsi="Arial" w:cs="Arial"/>
              </w:rPr>
              <w:t>4</w:t>
            </w:r>
            <w:r w:rsidRPr="003E13C2">
              <w:rPr>
                <w:rFonts w:ascii="Arial" w:hAnsi="Arial" w:cs="Arial"/>
              </w:rPr>
              <w:t>. štvrťroku</w:t>
            </w:r>
          </w:p>
        </w:tc>
        <w:tc>
          <w:tcPr>
            <w:tcW w:w="162" w:type="dxa"/>
          </w:tcPr>
          <w:p w14:paraId="369A86AD" w14:textId="77777777" w:rsidR="00C26168" w:rsidRPr="003E13C2" w:rsidRDefault="00C26168" w:rsidP="00C26168">
            <w:pPr>
              <w:widowControl/>
              <w:tabs>
                <w:tab w:val="left" w:pos="426"/>
              </w:tabs>
              <w:jc w:val="right"/>
              <w:rPr>
                <w:rFonts w:ascii="Arial" w:hAnsi="Arial" w:cs="Arial"/>
              </w:rPr>
            </w:pPr>
          </w:p>
        </w:tc>
      </w:tr>
      <w:tr w:rsidR="00C26168" w:rsidRPr="003E13C2" w14:paraId="27029C84" w14:textId="77777777" w:rsidTr="00F528DB">
        <w:trPr>
          <w:gridBefore w:val="1"/>
          <w:gridAfter w:val="1"/>
          <w:wBefore w:w="497" w:type="dxa"/>
          <w:wAfter w:w="342" w:type="dxa"/>
          <w:trHeight w:hRule="exact" w:val="278"/>
        </w:trPr>
        <w:tc>
          <w:tcPr>
            <w:tcW w:w="780" w:type="dxa"/>
            <w:gridSpan w:val="2"/>
          </w:tcPr>
          <w:p w14:paraId="0C8F7C51" w14:textId="67BBCD35" w:rsidR="00C26168" w:rsidRDefault="00C26168" w:rsidP="00C26168">
            <w:pPr>
              <w:widowControl/>
              <w:tabs>
                <w:tab w:val="left" w:pos="426"/>
              </w:tabs>
              <w:jc w:val="right"/>
              <w:rPr>
                <w:rFonts w:ascii="Arial" w:hAnsi="Arial" w:cs="Arial"/>
              </w:rPr>
            </w:pPr>
            <w:r>
              <w:rPr>
                <w:rFonts w:ascii="Arial" w:hAnsi="Arial" w:cs="Arial"/>
              </w:rPr>
              <w:t>d.</w:t>
            </w:r>
          </w:p>
        </w:tc>
        <w:tc>
          <w:tcPr>
            <w:tcW w:w="7725" w:type="dxa"/>
          </w:tcPr>
          <w:p w14:paraId="77A0D9E8" w14:textId="5E7AAE31"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dokončené (skolaudované) byty v</w:t>
            </w:r>
            <w:r>
              <w:rPr>
                <w:rFonts w:ascii="Arial" w:hAnsi="Arial" w:cs="Arial"/>
              </w:rPr>
              <w:t> roku</w:t>
            </w:r>
          </w:p>
        </w:tc>
        <w:tc>
          <w:tcPr>
            <w:tcW w:w="162" w:type="dxa"/>
          </w:tcPr>
          <w:p w14:paraId="70D4991B" w14:textId="77777777" w:rsidR="00C26168" w:rsidRPr="003E13C2" w:rsidRDefault="00C26168" w:rsidP="00C26168">
            <w:pPr>
              <w:widowControl/>
              <w:tabs>
                <w:tab w:val="left" w:pos="426"/>
              </w:tabs>
              <w:jc w:val="right"/>
              <w:rPr>
                <w:rFonts w:ascii="Arial" w:hAnsi="Arial" w:cs="Arial"/>
              </w:rPr>
            </w:pPr>
          </w:p>
        </w:tc>
      </w:tr>
      <w:tr w:rsidR="00C26168" w:rsidRPr="003E13C2" w14:paraId="615E75BA" w14:textId="77777777" w:rsidTr="00A225FD">
        <w:trPr>
          <w:gridBefore w:val="1"/>
          <w:gridAfter w:val="1"/>
          <w:wBefore w:w="497" w:type="dxa"/>
          <w:wAfter w:w="342" w:type="dxa"/>
          <w:trHeight w:hRule="exact" w:val="291"/>
        </w:trPr>
        <w:tc>
          <w:tcPr>
            <w:tcW w:w="780" w:type="dxa"/>
            <w:gridSpan w:val="2"/>
          </w:tcPr>
          <w:p w14:paraId="44F9C742" w14:textId="6BF14F75" w:rsidR="00C26168" w:rsidRDefault="00C26168" w:rsidP="00C26168">
            <w:pPr>
              <w:widowControl/>
              <w:tabs>
                <w:tab w:val="left" w:pos="426"/>
              </w:tabs>
              <w:jc w:val="right"/>
              <w:rPr>
                <w:rFonts w:ascii="Arial" w:hAnsi="Arial" w:cs="Arial"/>
              </w:rPr>
            </w:pPr>
            <w:r>
              <w:rPr>
                <w:rFonts w:ascii="Arial" w:hAnsi="Arial" w:cs="Arial"/>
              </w:rPr>
              <w:t>e.</w:t>
            </w:r>
          </w:p>
        </w:tc>
        <w:tc>
          <w:tcPr>
            <w:tcW w:w="7725" w:type="dxa"/>
          </w:tcPr>
          <w:p w14:paraId="3D5DF9E8" w14:textId="647F7B62" w:rsidR="00C26168" w:rsidRPr="003E13C2" w:rsidRDefault="00C26168" w:rsidP="00C26168">
            <w:pPr>
              <w:widowControl/>
              <w:tabs>
                <w:tab w:val="left" w:pos="426"/>
              </w:tabs>
              <w:rPr>
                <w:rFonts w:ascii="Arial" w:hAnsi="Arial" w:cs="Arial"/>
              </w:rPr>
            </w:pPr>
            <w:r w:rsidRPr="003E13C2">
              <w:rPr>
                <w:rFonts w:ascii="Arial" w:hAnsi="Arial" w:cs="Arial"/>
              </w:rPr>
              <w:t>Výstavba bytov v SR - začaté byty v</w:t>
            </w:r>
            <w:r>
              <w:rPr>
                <w:rFonts w:ascii="Arial" w:hAnsi="Arial" w:cs="Arial"/>
              </w:rPr>
              <w:t>o</w:t>
            </w:r>
            <w:r w:rsidRPr="003E13C2">
              <w:rPr>
                <w:rFonts w:ascii="Arial" w:hAnsi="Arial" w:cs="Arial"/>
              </w:rPr>
              <w:t xml:space="preserve"> </w:t>
            </w:r>
            <w:r>
              <w:rPr>
                <w:rFonts w:ascii="Arial" w:hAnsi="Arial" w:cs="Arial"/>
              </w:rPr>
              <w:t>4</w:t>
            </w:r>
            <w:r w:rsidRPr="003E13C2">
              <w:rPr>
                <w:rFonts w:ascii="Arial" w:hAnsi="Arial" w:cs="Arial"/>
              </w:rPr>
              <w:t>. štvrťroku</w:t>
            </w:r>
          </w:p>
        </w:tc>
        <w:tc>
          <w:tcPr>
            <w:tcW w:w="162" w:type="dxa"/>
          </w:tcPr>
          <w:p w14:paraId="59490555" w14:textId="77777777" w:rsidR="00C26168" w:rsidRPr="003E13C2" w:rsidRDefault="00C26168" w:rsidP="00C26168">
            <w:pPr>
              <w:widowControl/>
              <w:tabs>
                <w:tab w:val="left" w:pos="426"/>
              </w:tabs>
              <w:jc w:val="right"/>
              <w:rPr>
                <w:rFonts w:ascii="Arial" w:hAnsi="Arial" w:cs="Arial"/>
              </w:rPr>
            </w:pPr>
          </w:p>
        </w:tc>
      </w:tr>
      <w:tr w:rsidR="00C26168" w:rsidRPr="003E13C2" w14:paraId="684EF84C" w14:textId="77777777" w:rsidTr="00A225FD">
        <w:trPr>
          <w:gridBefore w:val="1"/>
          <w:gridAfter w:val="1"/>
          <w:wBefore w:w="497" w:type="dxa"/>
          <w:wAfter w:w="342" w:type="dxa"/>
          <w:trHeight w:hRule="exact" w:val="240"/>
        </w:trPr>
        <w:tc>
          <w:tcPr>
            <w:tcW w:w="780" w:type="dxa"/>
            <w:gridSpan w:val="2"/>
          </w:tcPr>
          <w:p w14:paraId="43826F08" w14:textId="2C419EE9" w:rsidR="00C26168" w:rsidRDefault="00C26168" w:rsidP="00C26168">
            <w:pPr>
              <w:widowControl/>
              <w:tabs>
                <w:tab w:val="left" w:pos="426"/>
              </w:tabs>
              <w:jc w:val="right"/>
              <w:rPr>
                <w:rFonts w:ascii="Arial" w:hAnsi="Arial" w:cs="Arial"/>
              </w:rPr>
            </w:pPr>
            <w:r>
              <w:rPr>
                <w:rFonts w:ascii="Arial" w:hAnsi="Arial" w:cs="Arial"/>
              </w:rPr>
              <w:t xml:space="preserve">f. </w:t>
            </w:r>
          </w:p>
        </w:tc>
        <w:tc>
          <w:tcPr>
            <w:tcW w:w="7725" w:type="dxa"/>
          </w:tcPr>
          <w:p w14:paraId="7DEA53D4" w14:textId="596E9697" w:rsidR="00C26168" w:rsidRPr="003E13C2" w:rsidRDefault="00C26168" w:rsidP="00C26168">
            <w:pPr>
              <w:widowControl/>
              <w:tabs>
                <w:tab w:val="left" w:pos="426"/>
              </w:tabs>
              <w:rPr>
                <w:rFonts w:ascii="Arial" w:hAnsi="Arial" w:cs="Arial"/>
              </w:rPr>
            </w:pPr>
            <w:r w:rsidRPr="003E13C2">
              <w:rPr>
                <w:rFonts w:ascii="Arial" w:hAnsi="Arial" w:cs="Arial"/>
              </w:rPr>
              <w:t>Výstavba bytov v SR - začaté byty v</w:t>
            </w:r>
            <w:r>
              <w:rPr>
                <w:rFonts w:ascii="Arial" w:hAnsi="Arial" w:cs="Arial"/>
              </w:rPr>
              <w:t> roku</w:t>
            </w:r>
          </w:p>
        </w:tc>
        <w:tc>
          <w:tcPr>
            <w:tcW w:w="162" w:type="dxa"/>
          </w:tcPr>
          <w:p w14:paraId="219EE8A0" w14:textId="77777777" w:rsidR="00C26168" w:rsidRPr="003E13C2" w:rsidRDefault="00C26168" w:rsidP="00C26168">
            <w:pPr>
              <w:widowControl/>
              <w:tabs>
                <w:tab w:val="left" w:pos="426"/>
              </w:tabs>
              <w:jc w:val="right"/>
              <w:rPr>
                <w:rFonts w:ascii="Arial" w:hAnsi="Arial" w:cs="Arial"/>
              </w:rPr>
            </w:pPr>
          </w:p>
        </w:tc>
      </w:tr>
      <w:tr w:rsidR="00C26168" w:rsidRPr="003E13C2" w14:paraId="0D6E687F" w14:textId="77777777" w:rsidTr="00A225FD">
        <w:trPr>
          <w:gridBefore w:val="1"/>
          <w:gridAfter w:val="1"/>
          <w:wBefore w:w="497" w:type="dxa"/>
          <w:wAfter w:w="342" w:type="dxa"/>
          <w:trHeight w:hRule="exact" w:val="327"/>
        </w:trPr>
        <w:tc>
          <w:tcPr>
            <w:tcW w:w="780" w:type="dxa"/>
            <w:gridSpan w:val="2"/>
          </w:tcPr>
          <w:p w14:paraId="3798A7B0" w14:textId="12D71DDA" w:rsidR="00C26168" w:rsidRDefault="00C26168" w:rsidP="00C26168">
            <w:pPr>
              <w:widowControl/>
              <w:tabs>
                <w:tab w:val="left" w:pos="426"/>
              </w:tabs>
              <w:jc w:val="right"/>
              <w:rPr>
                <w:rFonts w:ascii="Arial" w:hAnsi="Arial" w:cs="Arial"/>
              </w:rPr>
            </w:pPr>
            <w:r>
              <w:rPr>
                <w:rFonts w:ascii="Arial" w:hAnsi="Arial" w:cs="Arial"/>
              </w:rPr>
              <w:t>g.</w:t>
            </w:r>
          </w:p>
        </w:tc>
        <w:tc>
          <w:tcPr>
            <w:tcW w:w="7725" w:type="dxa"/>
          </w:tcPr>
          <w:p w14:paraId="7665E333" w14:textId="7583B269"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začaté byty v</w:t>
            </w:r>
            <w:r>
              <w:rPr>
                <w:rFonts w:ascii="Arial" w:hAnsi="Arial" w:cs="Arial"/>
              </w:rPr>
              <w:t>o</w:t>
            </w:r>
            <w:r w:rsidRPr="00A225FD">
              <w:rPr>
                <w:rFonts w:ascii="Arial" w:hAnsi="Arial" w:cs="Arial"/>
              </w:rPr>
              <w:t xml:space="preserve"> </w:t>
            </w:r>
            <w:r>
              <w:rPr>
                <w:rFonts w:ascii="Arial" w:hAnsi="Arial" w:cs="Arial"/>
              </w:rPr>
              <w:t>4</w:t>
            </w:r>
            <w:r w:rsidRPr="003E13C2">
              <w:rPr>
                <w:rFonts w:ascii="Arial" w:hAnsi="Arial" w:cs="Arial"/>
              </w:rPr>
              <w:t>. štvrťroku</w:t>
            </w:r>
          </w:p>
        </w:tc>
        <w:tc>
          <w:tcPr>
            <w:tcW w:w="162" w:type="dxa"/>
          </w:tcPr>
          <w:p w14:paraId="3DCA1AAE" w14:textId="77777777" w:rsidR="00C26168" w:rsidRPr="003E13C2" w:rsidRDefault="00C26168" w:rsidP="00C26168">
            <w:pPr>
              <w:widowControl/>
              <w:tabs>
                <w:tab w:val="left" w:pos="426"/>
              </w:tabs>
              <w:jc w:val="right"/>
              <w:rPr>
                <w:rFonts w:ascii="Arial" w:hAnsi="Arial" w:cs="Arial"/>
              </w:rPr>
            </w:pPr>
          </w:p>
        </w:tc>
      </w:tr>
      <w:tr w:rsidR="00C26168" w:rsidRPr="003E13C2" w14:paraId="59257B23" w14:textId="77777777" w:rsidTr="00A225FD">
        <w:trPr>
          <w:gridBefore w:val="1"/>
          <w:gridAfter w:val="1"/>
          <w:wBefore w:w="497" w:type="dxa"/>
          <w:wAfter w:w="342" w:type="dxa"/>
          <w:trHeight w:hRule="exact" w:val="262"/>
        </w:trPr>
        <w:tc>
          <w:tcPr>
            <w:tcW w:w="780" w:type="dxa"/>
            <w:gridSpan w:val="2"/>
          </w:tcPr>
          <w:p w14:paraId="635D11A1" w14:textId="035C3839" w:rsidR="00C26168" w:rsidRDefault="00C26168" w:rsidP="00C26168">
            <w:pPr>
              <w:widowControl/>
              <w:tabs>
                <w:tab w:val="left" w:pos="426"/>
              </w:tabs>
              <w:jc w:val="right"/>
              <w:rPr>
                <w:rFonts w:ascii="Arial" w:hAnsi="Arial" w:cs="Arial"/>
              </w:rPr>
            </w:pPr>
            <w:r>
              <w:rPr>
                <w:rFonts w:ascii="Arial" w:hAnsi="Arial" w:cs="Arial"/>
              </w:rPr>
              <w:t xml:space="preserve">h. </w:t>
            </w:r>
          </w:p>
        </w:tc>
        <w:tc>
          <w:tcPr>
            <w:tcW w:w="7725" w:type="dxa"/>
          </w:tcPr>
          <w:p w14:paraId="047A266F" w14:textId="4326C1CA"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začaté byty v</w:t>
            </w:r>
            <w:r>
              <w:rPr>
                <w:rFonts w:ascii="Arial" w:hAnsi="Arial" w:cs="Arial"/>
              </w:rPr>
              <w:t> roku</w:t>
            </w:r>
          </w:p>
        </w:tc>
        <w:tc>
          <w:tcPr>
            <w:tcW w:w="162" w:type="dxa"/>
          </w:tcPr>
          <w:p w14:paraId="5D2114BD" w14:textId="77777777" w:rsidR="00C26168" w:rsidRPr="003E13C2" w:rsidRDefault="00C26168" w:rsidP="00C26168">
            <w:pPr>
              <w:widowControl/>
              <w:tabs>
                <w:tab w:val="left" w:pos="426"/>
              </w:tabs>
              <w:jc w:val="right"/>
              <w:rPr>
                <w:rFonts w:ascii="Arial" w:hAnsi="Arial" w:cs="Arial"/>
              </w:rPr>
            </w:pPr>
          </w:p>
        </w:tc>
      </w:tr>
      <w:tr w:rsidR="00C26168" w:rsidRPr="003E13C2" w14:paraId="108A18C9" w14:textId="77777777" w:rsidTr="00A225FD">
        <w:trPr>
          <w:gridBefore w:val="1"/>
          <w:gridAfter w:val="1"/>
          <w:wBefore w:w="497" w:type="dxa"/>
          <w:wAfter w:w="342" w:type="dxa"/>
          <w:trHeight w:hRule="exact" w:val="307"/>
        </w:trPr>
        <w:tc>
          <w:tcPr>
            <w:tcW w:w="780" w:type="dxa"/>
            <w:gridSpan w:val="2"/>
          </w:tcPr>
          <w:p w14:paraId="62F823CE" w14:textId="36FBF7F7" w:rsidR="00C26168" w:rsidRDefault="00C26168" w:rsidP="00C26168">
            <w:pPr>
              <w:widowControl/>
              <w:tabs>
                <w:tab w:val="left" w:pos="426"/>
              </w:tabs>
              <w:jc w:val="right"/>
              <w:rPr>
                <w:rFonts w:ascii="Arial" w:hAnsi="Arial" w:cs="Arial"/>
              </w:rPr>
            </w:pPr>
            <w:r>
              <w:rPr>
                <w:rFonts w:ascii="Arial" w:hAnsi="Arial" w:cs="Arial"/>
              </w:rPr>
              <w:t>i.</w:t>
            </w:r>
          </w:p>
        </w:tc>
        <w:tc>
          <w:tcPr>
            <w:tcW w:w="7725" w:type="dxa"/>
          </w:tcPr>
          <w:p w14:paraId="795168D5" w14:textId="45E6094D" w:rsidR="00C26168" w:rsidRPr="003E13C2" w:rsidRDefault="00C26168" w:rsidP="00C26168">
            <w:pPr>
              <w:widowControl/>
              <w:tabs>
                <w:tab w:val="left" w:pos="426"/>
              </w:tabs>
              <w:rPr>
                <w:rFonts w:ascii="Arial" w:hAnsi="Arial" w:cs="Arial"/>
              </w:rPr>
            </w:pPr>
            <w:r w:rsidRPr="003E13C2">
              <w:rPr>
                <w:rFonts w:ascii="Arial" w:hAnsi="Arial" w:cs="Arial"/>
              </w:rPr>
              <w:t>Výstavba bytov v SR - rozostavané byty</w:t>
            </w:r>
          </w:p>
          <w:p w14:paraId="64826E40" w14:textId="77777777" w:rsidR="00C26168" w:rsidRPr="003E13C2" w:rsidRDefault="00C26168" w:rsidP="00C26168">
            <w:pPr>
              <w:widowControl/>
              <w:tabs>
                <w:tab w:val="left" w:pos="426"/>
              </w:tabs>
              <w:rPr>
                <w:rFonts w:ascii="Arial" w:hAnsi="Arial" w:cs="Arial"/>
              </w:rPr>
            </w:pPr>
          </w:p>
        </w:tc>
        <w:tc>
          <w:tcPr>
            <w:tcW w:w="162" w:type="dxa"/>
          </w:tcPr>
          <w:p w14:paraId="7ACC73F9" w14:textId="77777777" w:rsidR="00C26168" w:rsidRPr="003E13C2" w:rsidRDefault="00C26168" w:rsidP="00C26168">
            <w:pPr>
              <w:widowControl/>
              <w:tabs>
                <w:tab w:val="left" w:pos="426"/>
              </w:tabs>
              <w:jc w:val="right"/>
              <w:rPr>
                <w:rFonts w:ascii="Arial" w:hAnsi="Arial" w:cs="Arial"/>
              </w:rPr>
            </w:pPr>
          </w:p>
        </w:tc>
      </w:tr>
      <w:tr w:rsidR="00C26168" w:rsidRPr="003E13C2" w14:paraId="2F2114F1" w14:textId="77777777" w:rsidTr="00F528DB">
        <w:trPr>
          <w:gridBefore w:val="1"/>
          <w:gridAfter w:val="1"/>
          <w:wBefore w:w="497" w:type="dxa"/>
          <w:wAfter w:w="342" w:type="dxa"/>
          <w:trHeight w:hRule="exact" w:val="264"/>
        </w:trPr>
        <w:tc>
          <w:tcPr>
            <w:tcW w:w="780" w:type="dxa"/>
            <w:gridSpan w:val="2"/>
          </w:tcPr>
          <w:p w14:paraId="73155592" w14:textId="5B6C3FA9" w:rsidR="00C26168" w:rsidRDefault="00C26168" w:rsidP="00C26168">
            <w:pPr>
              <w:widowControl/>
              <w:tabs>
                <w:tab w:val="left" w:pos="426"/>
              </w:tabs>
              <w:jc w:val="right"/>
              <w:rPr>
                <w:rFonts w:ascii="Arial" w:hAnsi="Arial" w:cs="Arial"/>
              </w:rPr>
            </w:pPr>
            <w:r>
              <w:rPr>
                <w:rFonts w:ascii="Arial" w:hAnsi="Arial" w:cs="Arial"/>
              </w:rPr>
              <w:t>j.</w:t>
            </w:r>
          </w:p>
        </w:tc>
        <w:tc>
          <w:tcPr>
            <w:tcW w:w="7725" w:type="dxa"/>
          </w:tcPr>
          <w:p w14:paraId="7453EA3E" w14:textId="77777777"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rozostavané byty</w:t>
            </w:r>
          </w:p>
          <w:p w14:paraId="1480A46C" w14:textId="77777777" w:rsidR="00C26168" w:rsidRPr="003E13C2" w:rsidRDefault="00C26168" w:rsidP="00C26168">
            <w:pPr>
              <w:widowControl/>
              <w:tabs>
                <w:tab w:val="left" w:pos="426"/>
              </w:tabs>
              <w:rPr>
                <w:rFonts w:ascii="Arial" w:hAnsi="Arial" w:cs="Arial"/>
              </w:rPr>
            </w:pPr>
          </w:p>
        </w:tc>
        <w:tc>
          <w:tcPr>
            <w:tcW w:w="162" w:type="dxa"/>
          </w:tcPr>
          <w:p w14:paraId="263089BE" w14:textId="77777777" w:rsidR="00C26168" w:rsidRPr="003E13C2" w:rsidRDefault="00C26168" w:rsidP="00C26168">
            <w:pPr>
              <w:widowControl/>
              <w:tabs>
                <w:tab w:val="left" w:pos="426"/>
              </w:tabs>
              <w:jc w:val="right"/>
              <w:rPr>
                <w:rFonts w:ascii="Arial" w:hAnsi="Arial" w:cs="Arial"/>
              </w:rPr>
            </w:pPr>
          </w:p>
        </w:tc>
      </w:tr>
      <w:tr w:rsidR="00C26168" w:rsidRPr="003E13C2" w14:paraId="61A5DFB5" w14:textId="77777777" w:rsidTr="00F528DB">
        <w:trPr>
          <w:gridBefore w:val="1"/>
          <w:gridAfter w:val="1"/>
          <w:wBefore w:w="497" w:type="dxa"/>
          <w:wAfter w:w="342" w:type="dxa"/>
          <w:trHeight w:hRule="exact" w:val="565"/>
        </w:trPr>
        <w:tc>
          <w:tcPr>
            <w:tcW w:w="780" w:type="dxa"/>
            <w:gridSpan w:val="2"/>
          </w:tcPr>
          <w:p w14:paraId="757E35B9" w14:textId="355B2758"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3</w:t>
            </w:r>
            <w:r w:rsidRPr="003E13C2">
              <w:rPr>
                <w:rFonts w:ascii="Arial" w:hAnsi="Arial" w:cs="Arial"/>
              </w:rPr>
              <w:t>.</w:t>
            </w:r>
          </w:p>
        </w:tc>
        <w:tc>
          <w:tcPr>
            <w:tcW w:w="7725" w:type="dxa"/>
          </w:tcPr>
          <w:p w14:paraId="05DFE62F" w14:textId="77777777" w:rsidR="00C26168" w:rsidRPr="003E13C2" w:rsidRDefault="00C26168" w:rsidP="00C26168">
            <w:pPr>
              <w:widowControl/>
              <w:tabs>
                <w:tab w:val="left" w:pos="426"/>
              </w:tabs>
              <w:rPr>
                <w:rFonts w:ascii="Arial" w:hAnsi="Arial" w:cs="Arial"/>
              </w:rPr>
            </w:pPr>
            <w:r w:rsidRPr="003E13C2">
              <w:rPr>
                <w:rFonts w:ascii="Arial" w:hAnsi="Arial" w:cs="Arial"/>
              </w:rPr>
              <w:t>Zahraničný obchod podľa ekonomických zoskupení, kontinentov a vybraných krajín</w:t>
            </w:r>
          </w:p>
        </w:tc>
        <w:tc>
          <w:tcPr>
            <w:tcW w:w="162" w:type="dxa"/>
          </w:tcPr>
          <w:p w14:paraId="798E42CE" w14:textId="77777777" w:rsidR="00C26168" w:rsidRPr="003E13C2" w:rsidRDefault="00C26168" w:rsidP="00C26168">
            <w:pPr>
              <w:widowControl/>
              <w:tabs>
                <w:tab w:val="left" w:pos="426"/>
              </w:tabs>
              <w:jc w:val="right"/>
              <w:rPr>
                <w:rFonts w:ascii="Arial" w:hAnsi="Arial" w:cs="Arial"/>
              </w:rPr>
            </w:pPr>
          </w:p>
        </w:tc>
      </w:tr>
      <w:tr w:rsidR="00C26168" w:rsidRPr="003E13C2" w14:paraId="02C4EC9A" w14:textId="77777777" w:rsidTr="00F528DB">
        <w:trPr>
          <w:gridBefore w:val="1"/>
          <w:gridAfter w:val="1"/>
          <w:wBefore w:w="497" w:type="dxa"/>
          <w:wAfter w:w="342" w:type="dxa"/>
          <w:trHeight w:hRule="exact" w:val="278"/>
        </w:trPr>
        <w:tc>
          <w:tcPr>
            <w:tcW w:w="780" w:type="dxa"/>
            <w:gridSpan w:val="2"/>
          </w:tcPr>
          <w:p w14:paraId="24A164D1" w14:textId="1B117257"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4</w:t>
            </w:r>
            <w:r w:rsidRPr="003E13C2">
              <w:rPr>
                <w:rFonts w:ascii="Arial" w:hAnsi="Arial" w:cs="Arial"/>
              </w:rPr>
              <w:t>.</w:t>
            </w:r>
          </w:p>
        </w:tc>
        <w:tc>
          <w:tcPr>
            <w:tcW w:w="7725" w:type="dxa"/>
          </w:tcPr>
          <w:p w14:paraId="5EA56AA2" w14:textId="77777777" w:rsidR="00C26168" w:rsidRPr="003E13C2" w:rsidRDefault="00C26168" w:rsidP="00C26168">
            <w:pPr>
              <w:widowControl/>
              <w:tabs>
                <w:tab w:val="left" w:pos="426"/>
              </w:tabs>
              <w:rPr>
                <w:rFonts w:ascii="Arial" w:hAnsi="Arial" w:cs="Arial"/>
              </w:rPr>
            </w:pPr>
            <w:r w:rsidRPr="003E13C2">
              <w:rPr>
                <w:rFonts w:ascii="Arial" w:hAnsi="Arial" w:cs="Arial"/>
              </w:rPr>
              <w:t>Tvorba a použitie dôchodkov v sektore domácností</w:t>
            </w:r>
          </w:p>
        </w:tc>
        <w:tc>
          <w:tcPr>
            <w:tcW w:w="162" w:type="dxa"/>
          </w:tcPr>
          <w:p w14:paraId="0AF8B859" w14:textId="77777777" w:rsidR="00C26168" w:rsidRPr="003E13C2" w:rsidRDefault="00C26168" w:rsidP="00C26168">
            <w:pPr>
              <w:widowControl/>
              <w:tabs>
                <w:tab w:val="left" w:pos="426"/>
              </w:tabs>
              <w:jc w:val="right"/>
              <w:rPr>
                <w:rFonts w:ascii="Arial" w:hAnsi="Arial" w:cs="Arial"/>
              </w:rPr>
            </w:pPr>
          </w:p>
        </w:tc>
      </w:tr>
      <w:tr w:rsidR="00C26168" w:rsidRPr="003E13C2" w14:paraId="61368F20" w14:textId="77777777" w:rsidTr="00F528DB">
        <w:trPr>
          <w:gridBefore w:val="1"/>
          <w:gridAfter w:val="1"/>
          <w:wBefore w:w="497" w:type="dxa"/>
          <w:wAfter w:w="342" w:type="dxa"/>
          <w:trHeight w:hRule="exact" w:val="278"/>
        </w:trPr>
        <w:tc>
          <w:tcPr>
            <w:tcW w:w="780" w:type="dxa"/>
            <w:gridSpan w:val="2"/>
          </w:tcPr>
          <w:p w14:paraId="57B5813F" w14:textId="74BEA906"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5</w:t>
            </w:r>
            <w:r w:rsidRPr="003E13C2">
              <w:rPr>
                <w:rFonts w:ascii="Arial" w:hAnsi="Arial" w:cs="Arial"/>
              </w:rPr>
              <w:t>.</w:t>
            </w:r>
          </w:p>
        </w:tc>
        <w:tc>
          <w:tcPr>
            <w:tcW w:w="7725" w:type="dxa"/>
          </w:tcPr>
          <w:p w14:paraId="692C3BA8" w14:textId="77777777" w:rsidR="00C26168" w:rsidRPr="003E13C2" w:rsidRDefault="00C26168" w:rsidP="00C26168">
            <w:pPr>
              <w:widowControl/>
              <w:tabs>
                <w:tab w:val="left" w:pos="426"/>
              </w:tabs>
              <w:rPr>
                <w:rFonts w:ascii="Arial" w:hAnsi="Arial" w:cs="Arial"/>
              </w:rPr>
            </w:pPr>
            <w:r w:rsidRPr="003E13C2">
              <w:rPr>
                <w:rFonts w:ascii="Arial" w:hAnsi="Arial" w:cs="Arial"/>
              </w:rPr>
              <w:t>Vybrané finančné ukazovatele finančných korporácií</w:t>
            </w:r>
          </w:p>
        </w:tc>
        <w:tc>
          <w:tcPr>
            <w:tcW w:w="162" w:type="dxa"/>
          </w:tcPr>
          <w:p w14:paraId="60F990D8" w14:textId="77777777" w:rsidR="00C26168" w:rsidRPr="003E13C2" w:rsidRDefault="00C26168" w:rsidP="00C26168">
            <w:pPr>
              <w:widowControl/>
              <w:tabs>
                <w:tab w:val="left" w:pos="426"/>
              </w:tabs>
              <w:jc w:val="right"/>
              <w:rPr>
                <w:rFonts w:ascii="Arial" w:hAnsi="Arial" w:cs="Arial"/>
              </w:rPr>
            </w:pPr>
          </w:p>
        </w:tc>
      </w:tr>
      <w:tr w:rsidR="00C26168" w:rsidRPr="003E13C2" w14:paraId="633DEEC5" w14:textId="77777777" w:rsidTr="00F528DB">
        <w:trPr>
          <w:gridBefore w:val="1"/>
          <w:gridAfter w:val="1"/>
          <w:wBefore w:w="497" w:type="dxa"/>
          <w:wAfter w:w="342" w:type="dxa"/>
          <w:trHeight w:hRule="exact" w:val="567"/>
        </w:trPr>
        <w:tc>
          <w:tcPr>
            <w:tcW w:w="780" w:type="dxa"/>
            <w:gridSpan w:val="2"/>
          </w:tcPr>
          <w:p w14:paraId="051DA49B" w14:textId="00511C8C"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6</w:t>
            </w:r>
            <w:r w:rsidRPr="003E13C2">
              <w:rPr>
                <w:rFonts w:ascii="Arial" w:hAnsi="Arial" w:cs="Arial"/>
              </w:rPr>
              <w:t>.</w:t>
            </w:r>
          </w:p>
        </w:tc>
        <w:tc>
          <w:tcPr>
            <w:tcW w:w="7725" w:type="dxa"/>
          </w:tcPr>
          <w:p w14:paraId="5D4089F3" w14:textId="77777777" w:rsidR="00C26168" w:rsidRPr="003E13C2" w:rsidRDefault="00C26168" w:rsidP="00C26168">
            <w:pPr>
              <w:widowControl/>
              <w:tabs>
                <w:tab w:val="left" w:pos="426"/>
              </w:tabs>
              <w:rPr>
                <w:rFonts w:ascii="Arial" w:hAnsi="Arial" w:cs="Arial"/>
              </w:rPr>
            </w:pPr>
            <w:r w:rsidRPr="003E13C2">
              <w:rPr>
                <w:rFonts w:ascii="Arial" w:hAnsi="Arial" w:cs="Arial"/>
              </w:rPr>
              <w:t>Vybrané finančné ukazovatele nefinančných korporácií s 20 a viac zamestnancami</w:t>
            </w:r>
          </w:p>
        </w:tc>
        <w:tc>
          <w:tcPr>
            <w:tcW w:w="162" w:type="dxa"/>
          </w:tcPr>
          <w:p w14:paraId="0FF91F99" w14:textId="77777777" w:rsidR="00C26168" w:rsidRPr="003E13C2" w:rsidRDefault="00C26168" w:rsidP="00C26168">
            <w:pPr>
              <w:widowControl/>
              <w:tabs>
                <w:tab w:val="left" w:pos="426"/>
              </w:tabs>
              <w:jc w:val="right"/>
              <w:rPr>
                <w:rFonts w:ascii="Arial" w:hAnsi="Arial" w:cs="Arial"/>
              </w:rPr>
            </w:pPr>
          </w:p>
        </w:tc>
      </w:tr>
      <w:tr w:rsidR="00C26168" w:rsidRPr="003E13C2" w14:paraId="31D5D5C9" w14:textId="77777777" w:rsidTr="00F528DB">
        <w:trPr>
          <w:gridBefore w:val="1"/>
          <w:gridAfter w:val="1"/>
          <w:wBefore w:w="497" w:type="dxa"/>
          <w:wAfter w:w="342" w:type="dxa"/>
          <w:trHeight w:hRule="exact" w:val="292"/>
        </w:trPr>
        <w:tc>
          <w:tcPr>
            <w:tcW w:w="780" w:type="dxa"/>
            <w:gridSpan w:val="2"/>
          </w:tcPr>
          <w:p w14:paraId="59FDF2A0" w14:textId="79266233"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7</w:t>
            </w:r>
            <w:r w:rsidRPr="003E13C2">
              <w:rPr>
                <w:rFonts w:ascii="Arial" w:hAnsi="Arial" w:cs="Arial"/>
              </w:rPr>
              <w:t>.</w:t>
            </w:r>
          </w:p>
        </w:tc>
        <w:tc>
          <w:tcPr>
            <w:tcW w:w="7725" w:type="dxa"/>
          </w:tcPr>
          <w:p w14:paraId="7E51D603" w14:textId="77777777" w:rsidR="00C26168" w:rsidRPr="003E13C2" w:rsidRDefault="00C26168" w:rsidP="00C26168">
            <w:pPr>
              <w:widowControl/>
              <w:tabs>
                <w:tab w:val="left" w:pos="426"/>
              </w:tabs>
              <w:rPr>
                <w:rFonts w:ascii="Arial" w:hAnsi="Arial" w:cs="Arial"/>
              </w:rPr>
            </w:pPr>
            <w:r w:rsidRPr="003E13C2">
              <w:rPr>
                <w:rFonts w:ascii="Arial" w:hAnsi="Arial" w:cs="Arial"/>
              </w:rPr>
              <w:t>Nestratové a stratové nefinančné korporácie so 100 a viac zamestnancami</w:t>
            </w:r>
          </w:p>
        </w:tc>
        <w:tc>
          <w:tcPr>
            <w:tcW w:w="162" w:type="dxa"/>
          </w:tcPr>
          <w:p w14:paraId="248C34E4" w14:textId="77777777" w:rsidR="00C26168" w:rsidRPr="003E13C2" w:rsidRDefault="00C26168" w:rsidP="00C26168">
            <w:pPr>
              <w:widowControl/>
              <w:tabs>
                <w:tab w:val="left" w:pos="426"/>
              </w:tabs>
              <w:jc w:val="right"/>
              <w:rPr>
                <w:rFonts w:ascii="Arial" w:hAnsi="Arial" w:cs="Arial"/>
              </w:rPr>
            </w:pPr>
          </w:p>
        </w:tc>
      </w:tr>
      <w:tr w:rsidR="00C26168" w:rsidRPr="003E13C2" w14:paraId="4D22EE30" w14:textId="77777777" w:rsidTr="00F528DB">
        <w:trPr>
          <w:gridBefore w:val="1"/>
          <w:gridAfter w:val="1"/>
          <w:wBefore w:w="497" w:type="dxa"/>
          <w:wAfter w:w="342" w:type="dxa"/>
          <w:trHeight w:hRule="exact" w:val="278"/>
        </w:trPr>
        <w:tc>
          <w:tcPr>
            <w:tcW w:w="780" w:type="dxa"/>
            <w:gridSpan w:val="2"/>
          </w:tcPr>
          <w:p w14:paraId="73775A61" w14:textId="15A87BD1"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8</w:t>
            </w:r>
            <w:r w:rsidRPr="003E13C2">
              <w:rPr>
                <w:rFonts w:ascii="Arial" w:hAnsi="Arial" w:cs="Arial"/>
              </w:rPr>
              <w:t>.</w:t>
            </w:r>
          </w:p>
        </w:tc>
        <w:tc>
          <w:tcPr>
            <w:tcW w:w="7725" w:type="dxa"/>
          </w:tcPr>
          <w:p w14:paraId="44D33DB0" w14:textId="77777777" w:rsidR="00C26168" w:rsidRPr="003E13C2" w:rsidRDefault="00C26168" w:rsidP="00C26168">
            <w:pPr>
              <w:widowControl/>
              <w:tabs>
                <w:tab w:val="left" w:pos="426"/>
              </w:tabs>
              <w:rPr>
                <w:rFonts w:ascii="Arial" w:hAnsi="Arial" w:cs="Arial"/>
              </w:rPr>
            </w:pPr>
            <w:r w:rsidRPr="003E13C2">
              <w:rPr>
                <w:rFonts w:ascii="Arial" w:hAnsi="Arial" w:cs="Arial"/>
              </w:rPr>
              <w:t xml:space="preserve">Jadrová a čistá inflácia </w:t>
            </w:r>
          </w:p>
        </w:tc>
        <w:tc>
          <w:tcPr>
            <w:tcW w:w="162" w:type="dxa"/>
          </w:tcPr>
          <w:p w14:paraId="76F26BEA" w14:textId="77777777" w:rsidR="00C26168" w:rsidRPr="003E13C2" w:rsidRDefault="00C26168" w:rsidP="00C26168">
            <w:pPr>
              <w:widowControl/>
              <w:tabs>
                <w:tab w:val="left" w:pos="426"/>
              </w:tabs>
              <w:jc w:val="right"/>
              <w:rPr>
                <w:rFonts w:ascii="Arial" w:hAnsi="Arial" w:cs="Arial"/>
              </w:rPr>
            </w:pPr>
          </w:p>
        </w:tc>
      </w:tr>
      <w:tr w:rsidR="00C26168" w:rsidRPr="003E13C2" w14:paraId="27496DD3" w14:textId="77777777" w:rsidTr="00F528DB">
        <w:trPr>
          <w:gridBefore w:val="1"/>
          <w:gridAfter w:val="1"/>
          <w:wBefore w:w="497" w:type="dxa"/>
          <w:wAfter w:w="342" w:type="dxa"/>
          <w:trHeight w:hRule="exact" w:val="278"/>
        </w:trPr>
        <w:tc>
          <w:tcPr>
            <w:tcW w:w="780" w:type="dxa"/>
            <w:gridSpan w:val="2"/>
          </w:tcPr>
          <w:p w14:paraId="50187CC8" w14:textId="30311414"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19</w:t>
            </w:r>
            <w:r w:rsidRPr="003E13C2">
              <w:rPr>
                <w:rFonts w:ascii="Arial" w:hAnsi="Arial" w:cs="Arial"/>
              </w:rPr>
              <w:t>a.</w:t>
            </w:r>
          </w:p>
        </w:tc>
        <w:tc>
          <w:tcPr>
            <w:tcW w:w="7725" w:type="dxa"/>
          </w:tcPr>
          <w:p w14:paraId="5677DA39" w14:textId="3C74E008" w:rsidR="00C26168" w:rsidRPr="003E13C2" w:rsidRDefault="00C26168" w:rsidP="00C26168">
            <w:pPr>
              <w:widowControl/>
              <w:tabs>
                <w:tab w:val="left" w:pos="426"/>
              </w:tabs>
              <w:rPr>
                <w:rFonts w:ascii="Arial" w:hAnsi="Arial" w:cs="Arial"/>
              </w:rPr>
            </w:pPr>
            <w:r w:rsidRPr="003E13C2">
              <w:rPr>
                <w:rFonts w:ascii="Arial" w:hAnsi="Arial" w:cs="Arial"/>
              </w:rPr>
              <w:t>Indexy spotrebiteľských cien medziročne</w:t>
            </w:r>
          </w:p>
        </w:tc>
        <w:tc>
          <w:tcPr>
            <w:tcW w:w="162" w:type="dxa"/>
          </w:tcPr>
          <w:p w14:paraId="4EFBA72E" w14:textId="77777777" w:rsidR="00C26168" w:rsidRPr="003E13C2" w:rsidRDefault="00C26168" w:rsidP="00C26168">
            <w:pPr>
              <w:widowControl/>
              <w:tabs>
                <w:tab w:val="left" w:pos="426"/>
              </w:tabs>
              <w:jc w:val="right"/>
              <w:rPr>
                <w:rFonts w:ascii="Arial" w:hAnsi="Arial" w:cs="Arial"/>
              </w:rPr>
            </w:pPr>
          </w:p>
        </w:tc>
      </w:tr>
      <w:tr w:rsidR="00C26168" w:rsidRPr="003E13C2" w14:paraId="66AB29EB" w14:textId="77777777" w:rsidTr="00F528DB">
        <w:trPr>
          <w:gridBefore w:val="1"/>
          <w:gridAfter w:val="1"/>
          <w:wBefore w:w="497" w:type="dxa"/>
          <w:wAfter w:w="342" w:type="dxa"/>
          <w:trHeight w:hRule="exact" w:val="278"/>
        </w:trPr>
        <w:tc>
          <w:tcPr>
            <w:tcW w:w="780" w:type="dxa"/>
            <w:gridSpan w:val="2"/>
          </w:tcPr>
          <w:p w14:paraId="4706F086"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70461959" w14:textId="77777777" w:rsidR="00C26168" w:rsidRPr="003E13C2" w:rsidRDefault="00C26168" w:rsidP="00C26168">
            <w:pPr>
              <w:widowControl/>
              <w:tabs>
                <w:tab w:val="left" w:pos="426"/>
              </w:tabs>
              <w:rPr>
                <w:rFonts w:ascii="Arial" w:hAnsi="Arial" w:cs="Arial"/>
              </w:rPr>
            </w:pPr>
            <w:r w:rsidRPr="003E13C2">
              <w:rPr>
                <w:rFonts w:ascii="Arial" w:hAnsi="Arial" w:cs="Arial"/>
              </w:rPr>
              <w:t>Indexy spotrebiteľských cien podrobné - medziročne</w:t>
            </w:r>
          </w:p>
        </w:tc>
        <w:tc>
          <w:tcPr>
            <w:tcW w:w="162" w:type="dxa"/>
          </w:tcPr>
          <w:p w14:paraId="4C474EE9" w14:textId="77777777" w:rsidR="00C26168" w:rsidRPr="003E13C2" w:rsidRDefault="00C26168" w:rsidP="00C26168">
            <w:pPr>
              <w:widowControl/>
              <w:tabs>
                <w:tab w:val="left" w:pos="426"/>
              </w:tabs>
              <w:jc w:val="right"/>
              <w:rPr>
                <w:rFonts w:ascii="Arial" w:hAnsi="Arial" w:cs="Arial"/>
              </w:rPr>
            </w:pPr>
          </w:p>
        </w:tc>
      </w:tr>
      <w:tr w:rsidR="00C26168" w:rsidRPr="003E13C2" w14:paraId="4C9A1FF2" w14:textId="77777777" w:rsidTr="00F528DB">
        <w:trPr>
          <w:gridBefore w:val="1"/>
          <w:gridAfter w:val="1"/>
          <w:wBefore w:w="497" w:type="dxa"/>
          <w:wAfter w:w="342" w:type="dxa"/>
          <w:trHeight w:hRule="exact" w:val="278"/>
        </w:trPr>
        <w:tc>
          <w:tcPr>
            <w:tcW w:w="780" w:type="dxa"/>
            <w:gridSpan w:val="2"/>
          </w:tcPr>
          <w:p w14:paraId="4F73FE14" w14:textId="2D844A87"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20</w:t>
            </w:r>
            <w:r w:rsidRPr="003E13C2">
              <w:rPr>
                <w:rFonts w:ascii="Arial" w:hAnsi="Arial" w:cs="Arial"/>
              </w:rPr>
              <w:t>.</w:t>
            </w:r>
          </w:p>
        </w:tc>
        <w:tc>
          <w:tcPr>
            <w:tcW w:w="7725" w:type="dxa"/>
          </w:tcPr>
          <w:p w14:paraId="2FE719B6" w14:textId="77777777" w:rsidR="00C26168" w:rsidRPr="003E13C2" w:rsidRDefault="00C26168" w:rsidP="00C26168">
            <w:pPr>
              <w:widowControl/>
              <w:tabs>
                <w:tab w:val="left" w:pos="426"/>
              </w:tabs>
              <w:rPr>
                <w:rFonts w:ascii="Arial" w:hAnsi="Arial" w:cs="Arial"/>
              </w:rPr>
            </w:pPr>
            <w:r w:rsidRPr="003E13C2">
              <w:rPr>
                <w:rFonts w:ascii="Arial" w:hAnsi="Arial" w:cs="Arial"/>
              </w:rPr>
              <w:t>Indexy cien produktov poľnohospodárskej výroby</w:t>
            </w:r>
          </w:p>
        </w:tc>
        <w:tc>
          <w:tcPr>
            <w:tcW w:w="162" w:type="dxa"/>
          </w:tcPr>
          <w:p w14:paraId="4FD229CB" w14:textId="77777777" w:rsidR="00C26168" w:rsidRPr="003E13C2" w:rsidRDefault="00C26168" w:rsidP="00C26168">
            <w:pPr>
              <w:widowControl/>
              <w:tabs>
                <w:tab w:val="left" w:pos="426"/>
              </w:tabs>
              <w:jc w:val="right"/>
              <w:rPr>
                <w:rFonts w:ascii="Arial" w:hAnsi="Arial" w:cs="Arial"/>
              </w:rPr>
            </w:pPr>
          </w:p>
        </w:tc>
      </w:tr>
      <w:tr w:rsidR="00C26168" w:rsidRPr="003E13C2" w14:paraId="31DBF6C3" w14:textId="77777777" w:rsidTr="00F528DB">
        <w:trPr>
          <w:gridBefore w:val="1"/>
          <w:gridAfter w:val="1"/>
          <w:wBefore w:w="497" w:type="dxa"/>
          <w:wAfter w:w="342" w:type="dxa"/>
          <w:trHeight w:hRule="exact" w:val="278"/>
        </w:trPr>
        <w:tc>
          <w:tcPr>
            <w:tcW w:w="780" w:type="dxa"/>
            <w:gridSpan w:val="2"/>
          </w:tcPr>
          <w:p w14:paraId="4FC86087" w14:textId="7D26A835"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1</w:t>
            </w:r>
            <w:r w:rsidRPr="003E13C2">
              <w:rPr>
                <w:rFonts w:ascii="Arial" w:hAnsi="Arial" w:cs="Arial"/>
              </w:rPr>
              <w:t>.</w:t>
            </w:r>
          </w:p>
        </w:tc>
        <w:tc>
          <w:tcPr>
            <w:tcW w:w="7725" w:type="dxa"/>
          </w:tcPr>
          <w:p w14:paraId="552BFE2C" w14:textId="77777777" w:rsidR="00C26168" w:rsidRPr="003E13C2" w:rsidRDefault="00C26168" w:rsidP="00C26168">
            <w:pPr>
              <w:widowControl/>
              <w:tabs>
                <w:tab w:val="left" w:pos="426"/>
              </w:tabs>
              <w:rPr>
                <w:rFonts w:ascii="Arial" w:hAnsi="Arial" w:cs="Arial"/>
              </w:rPr>
            </w:pPr>
            <w:r w:rsidRPr="003E13C2">
              <w:rPr>
                <w:rFonts w:ascii="Arial" w:hAnsi="Arial" w:cs="Arial"/>
              </w:rPr>
              <w:t>Indexy cien výrobcov</w:t>
            </w:r>
          </w:p>
        </w:tc>
        <w:tc>
          <w:tcPr>
            <w:tcW w:w="162" w:type="dxa"/>
          </w:tcPr>
          <w:p w14:paraId="13C2C3BD" w14:textId="77777777" w:rsidR="00C26168" w:rsidRPr="003E13C2" w:rsidRDefault="00C26168" w:rsidP="00C26168">
            <w:pPr>
              <w:widowControl/>
              <w:tabs>
                <w:tab w:val="left" w:pos="426"/>
              </w:tabs>
              <w:jc w:val="right"/>
              <w:rPr>
                <w:rFonts w:ascii="Arial" w:hAnsi="Arial" w:cs="Arial"/>
              </w:rPr>
            </w:pPr>
          </w:p>
        </w:tc>
      </w:tr>
      <w:tr w:rsidR="00C26168" w:rsidRPr="003E13C2" w14:paraId="762C5E4A" w14:textId="77777777" w:rsidTr="00F528DB">
        <w:trPr>
          <w:gridBefore w:val="1"/>
          <w:gridAfter w:val="1"/>
          <w:wBefore w:w="497" w:type="dxa"/>
          <w:wAfter w:w="342" w:type="dxa"/>
          <w:trHeight w:hRule="exact" w:val="521"/>
        </w:trPr>
        <w:tc>
          <w:tcPr>
            <w:tcW w:w="780" w:type="dxa"/>
            <w:gridSpan w:val="2"/>
          </w:tcPr>
          <w:p w14:paraId="65B4C468" w14:textId="3BF7B8CC"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2</w:t>
            </w:r>
            <w:r w:rsidRPr="003E13C2">
              <w:rPr>
                <w:rFonts w:ascii="Arial" w:hAnsi="Arial" w:cs="Arial"/>
              </w:rPr>
              <w:t>a.</w:t>
            </w:r>
          </w:p>
        </w:tc>
        <w:tc>
          <w:tcPr>
            <w:tcW w:w="7725" w:type="dxa"/>
          </w:tcPr>
          <w:p w14:paraId="62DFC57C" w14:textId="25AEFEAA" w:rsidR="00C26168" w:rsidRPr="003E13C2" w:rsidRDefault="00C26168" w:rsidP="00C26168">
            <w:pPr>
              <w:widowControl/>
              <w:tabs>
                <w:tab w:val="left" w:pos="426"/>
              </w:tabs>
              <w:rPr>
                <w:rFonts w:ascii="Arial" w:hAnsi="Arial" w:cs="Arial"/>
              </w:rPr>
            </w:pPr>
            <w:r w:rsidRPr="003E13C2">
              <w:rPr>
                <w:rFonts w:ascii="Arial" w:hAnsi="Arial" w:cs="Arial"/>
              </w:rPr>
              <w:t>Zamestnanosť - pracujúci v SR (podľa Výberového zisťovania pracovných síl /VZPS)</w:t>
            </w:r>
          </w:p>
        </w:tc>
        <w:tc>
          <w:tcPr>
            <w:tcW w:w="162" w:type="dxa"/>
          </w:tcPr>
          <w:p w14:paraId="3DA821FB" w14:textId="77777777" w:rsidR="00C26168" w:rsidRPr="003E13C2" w:rsidRDefault="00C26168" w:rsidP="00C26168">
            <w:pPr>
              <w:widowControl/>
              <w:tabs>
                <w:tab w:val="left" w:pos="426"/>
              </w:tabs>
              <w:jc w:val="right"/>
              <w:rPr>
                <w:rFonts w:ascii="Arial" w:hAnsi="Arial" w:cs="Arial"/>
              </w:rPr>
            </w:pPr>
          </w:p>
        </w:tc>
      </w:tr>
      <w:tr w:rsidR="00C26168" w:rsidRPr="003E13C2" w14:paraId="0ED97897" w14:textId="77777777" w:rsidTr="00F528DB">
        <w:trPr>
          <w:gridBefore w:val="1"/>
          <w:gridAfter w:val="1"/>
          <w:wBefore w:w="497" w:type="dxa"/>
          <w:wAfter w:w="342" w:type="dxa"/>
          <w:trHeight w:hRule="exact" w:val="309"/>
        </w:trPr>
        <w:tc>
          <w:tcPr>
            <w:tcW w:w="780" w:type="dxa"/>
            <w:gridSpan w:val="2"/>
          </w:tcPr>
          <w:p w14:paraId="1F2A415C"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331A1F4B"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 - počet pracujúcich v krajoch SR (podľa VZPS)</w:t>
            </w:r>
          </w:p>
        </w:tc>
        <w:tc>
          <w:tcPr>
            <w:tcW w:w="162" w:type="dxa"/>
          </w:tcPr>
          <w:p w14:paraId="0C2F54EB" w14:textId="77777777" w:rsidR="00C26168" w:rsidRPr="003E13C2" w:rsidRDefault="00C26168" w:rsidP="00C26168">
            <w:pPr>
              <w:widowControl/>
              <w:tabs>
                <w:tab w:val="left" w:pos="426"/>
              </w:tabs>
              <w:jc w:val="right"/>
              <w:rPr>
                <w:rFonts w:ascii="Arial" w:hAnsi="Arial" w:cs="Arial"/>
              </w:rPr>
            </w:pPr>
          </w:p>
        </w:tc>
      </w:tr>
      <w:tr w:rsidR="00C26168" w:rsidRPr="003E13C2" w14:paraId="38BE7AFA" w14:textId="77777777" w:rsidTr="00F528DB">
        <w:trPr>
          <w:gridBefore w:val="1"/>
          <w:gridAfter w:val="1"/>
          <w:wBefore w:w="497" w:type="dxa"/>
          <w:wAfter w:w="342" w:type="dxa"/>
          <w:trHeight w:hRule="exact" w:val="309"/>
        </w:trPr>
        <w:tc>
          <w:tcPr>
            <w:tcW w:w="780" w:type="dxa"/>
            <w:gridSpan w:val="2"/>
          </w:tcPr>
          <w:p w14:paraId="47F3FBB1"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c.</w:t>
            </w:r>
          </w:p>
        </w:tc>
        <w:tc>
          <w:tcPr>
            <w:tcW w:w="7725" w:type="dxa"/>
          </w:tcPr>
          <w:p w14:paraId="760B9009" w14:textId="77777777" w:rsidR="00C26168" w:rsidRPr="003E13C2" w:rsidRDefault="00C26168" w:rsidP="00C26168">
            <w:pPr>
              <w:widowControl/>
              <w:tabs>
                <w:tab w:val="left" w:pos="426"/>
              </w:tabs>
              <w:rPr>
                <w:rFonts w:ascii="Arial" w:hAnsi="Arial" w:cs="Arial"/>
              </w:rPr>
            </w:pPr>
            <w:r w:rsidRPr="003E13C2">
              <w:rPr>
                <w:rFonts w:ascii="Arial" w:hAnsi="Arial" w:cs="Arial"/>
              </w:rPr>
              <w:t>Miera zamestnanosti (podľa VZPS)</w:t>
            </w:r>
          </w:p>
        </w:tc>
        <w:tc>
          <w:tcPr>
            <w:tcW w:w="162" w:type="dxa"/>
          </w:tcPr>
          <w:p w14:paraId="34A1A833" w14:textId="77777777" w:rsidR="00C26168" w:rsidRPr="003E13C2" w:rsidRDefault="00C26168" w:rsidP="00C26168">
            <w:pPr>
              <w:widowControl/>
              <w:tabs>
                <w:tab w:val="left" w:pos="426"/>
              </w:tabs>
              <w:jc w:val="right"/>
              <w:rPr>
                <w:rFonts w:ascii="Arial" w:hAnsi="Arial" w:cs="Arial"/>
              </w:rPr>
            </w:pPr>
          </w:p>
        </w:tc>
      </w:tr>
      <w:tr w:rsidR="00C26168" w:rsidRPr="003E13C2" w14:paraId="7732D338" w14:textId="77777777" w:rsidTr="00F528DB">
        <w:trPr>
          <w:gridBefore w:val="1"/>
          <w:gridAfter w:val="1"/>
          <w:wBefore w:w="497" w:type="dxa"/>
          <w:wAfter w:w="342" w:type="dxa"/>
          <w:trHeight w:hRule="exact" w:val="278"/>
        </w:trPr>
        <w:tc>
          <w:tcPr>
            <w:tcW w:w="780" w:type="dxa"/>
            <w:gridSpan w:val="2"/>
          </w:tcPr>
          <w:p w14:paraId="7E80A979" w14:textId="44318103"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3</w:t>
            </w:r>
            <w:r w:rsidRPr="003E13C2">
              <w:rPr>
                <w:rFonts w:ascii="Arial" w:hAnsi="Arial" w:cs="Arial"/>
              </w:rPr>
              <w:t>a.</w:t>
            </w:r>
          </w:p>
        </w:tc>
        <w:tc>
          <w:tcPr>
            <w:tcW w:w="7725" w:type="dxa"/>
          </w:tcPr>
          <w:p w14:paraId="28F2934D" w14:textId="77777777" w:rsidR="00C26168" w:rsidRPr="003E13C2" w:rsidRDefault="00C26168" w:rsidP="00C26168">
            <w:pPr>
              <w:widowControl/>
              <w:tabs>
                <w:tab w:val="left" w:pos="426"/>
              </w:tabs>
              <w:rPr>
                <w:rFonts w:ascii="Arial" w:hAnsi="Arial" w:cs="Arial"/>
              </w:rPr>
            </w:pPr>
            <w:r w:rsidRPr="003E13C2">
              <w:rPr>
                <w:rFonts w:ascii="Arial" w:hAnsi="Arial" w:cs="Arial"/>
              </w:rPr>
              <w:t>Pracujúci v zahraničí do 1 roka (podľa VZPS)</w:t>
            </w:r>
          </w:p>
        </w:tc>
        <w:tc>
          <w:tcPr>
            <w:tcW w:w="162" w:type="dxa"/>
          </w:tcPr>
          <w:p w14:paraId="7D09ACB0" w14:textId="77777777" w:rsidR="00C26168" w:rsidRPr="003E13C2" w:rsidRDefault="00C26168" w:rsidP="00C26168">
            <w:pPr>
              <w:widowControl/>
              <w:tabs>
                <w:tab w:val="left" w:pos="426"/>
              </w:tabs>
              <w:jc w:val="right"/>
              <w:rPr>
                <w:rFonts w:ascii="Arial" w:hAnsi="Arial" w:cs="Arial"/>
              </w:rPr>
            </w:pPr>
          </w:p>
        </w:tc>
      </w:tr>
      <w:tr w:rsidR="00C26168" w:rsidRPr="003E13C2" w14:paraId="3771B0F1" w14:textId="77777777" w:rsidTr="00F528DB">
        <w:trPr>
          <w:gridBefore w:val="1"/>
          <w:gridAfter w:val="1"/>
          <w:wBefore w:w="497" w:type="dxa"/>
          <w:wAfter w:w="342" w:type="dxa"/>
          <w:trHeight w:hRule="exact" w:val="278"/>
        </w:trPr>
        <w:tc>
          <w:tcPr>
            <w:tcW w:w="780" w:type="dxa"/>
            <w:gridSpan w:val="2"/>
          </w:tcPr>
          <w:p w14:paraId="73DE1223"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lastRenderedPageBreak/>
              <w:t>b.</w:t>
            </w:r>
          </w:p>
        </w:tc>
        <w:tc>
          <w:tcPr>
            <w:tcW w:w="7725" w:type="dxa"/>
          </w:tcPr>
          <w:p w14:paraId="296AC03A" w14:textId="77777777" w:rsidR="00C26168" w:rsidRPr="003E13C2" w:rsidRDefault="00C26168" w:rsidP="00C26168">
            <w:pPr>
              <w:widowControl/>
              <w:tabs>
                <w:tab w:val="left" w:pos="426"/>
              </w:tabs>
              <w:rPr>
                <w:rFonts w:ascii="Arial" w:hAnsi="Arial" w:cs="Arial"/>
              </w:rPr>
            </w:pPr>
            <w:r w:rsidRPr="003E13C2">
              <w:rPr>
                <w:rFonts w:ascii="Arial" w:hAnsi="Arial" w:cs="Arial"/>
              </w:rPr>
              <w:t>Pracujúci v zahraničí do 1 roka podľa trvalého bydliska</w:t>
            </w:r>
          </w:p>
        </w:tc>
        <w:tc>
          <w:tcPr>
            <w:tcW w:w="162" w:type="dxa"/>
          </w:tcPr>
          <w:p w14:paraId="7F5D401E" w14:textId="77777777" w:rsidR="00C26168" w:rsidRPr="003E13C2" w:rsidRDefault="00C26168" w:rsidP="00C26168">
            <w:pPr>
              <w:widowControl/>
              <w:tabs>
                <w:tab w:val="left" w:pos="426"/>
              </w:tabs>
              <w:jc w:val="right"/>
              <w:rPr>
                <w:rFonts w:ascii="Arial" w:hAnsi="Arial" w:cs="Arial"/>
              </w:rPr>
            </w:pPr>
          </w:p>
        </w:tc>
      </w:tr>
      <w:tr w:rsidR="00C26168" w:rsidRPr="003E13C2" w14:paraId="2A2E6897" w14:textId="77777777" w:rsidTr="00F528DB">
        <w:trPr>
          <w:gridBefore w:val="1"/>
          <w:gridAfter w:val="1"/>
          <w:wBefore w:w="497" w:type="dxa"/>
          <w:wAfter w:w="342" w:type="dxa"/>
          <w:trHeight w:hRule="exact" w:val="554"/>
        </w:trPr>
        <w:tc>
          <w:tcPr>
            <w:tcW w:w="780" w:type="dxa"/>
            <w:gridSpan w:val="2"/>
          </w:tcPr>
          <w:p w14:paraId="1F9DD2B6" w14:textId="0FFAEC12"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4</w:t>
            </w:r>
            <w:r w:rsidRPr="003E13C2">
              <w:rPr>
                <w:rFonts w:ascii="Arial" w:hAnsi="Arial" w:cs="Arial"/>
              </w:rPr>
              <w:t>a.</w:t>
            </w:r>
          </w:p>
        </w:tc>
        <w:tc>
          <w:tcPr>
            <w:tcW w:w="7725" w:type="dxa"/>
          </w:tcPr>
          <w:p w14:paraId="04A95CB3" w14:textId="77777777" w:rsidR="00C26168" w:rsidRPr="003E13C2" w:rsidRDefault="00C26168" w:rsidP="00C26168">
            <w:pPr>
              <w:widowControl/>
              <w:tabs>
                <w:tab w:val="left" w:pos="426"/>
              </w:tabs>
              <w:rPr>
                <w:rFonts w:ascii="Arial" w:hAnsi="Arial" w:cs="Arial"/>
              </w:rPr>
            </w:pPr>
            <w:r w:rsidRPr="003E13C2">
              <w:rPr>
                <w:rFonts w:ascii="Arial" w:hAnsi="Arial" w:cs="Arial"/>
              </w:rPr>
              <w:t>Nezamestnanosť - počet nezamestnaných v SR (podľa Výberového zisťovania pracovných síl /VZPS)</w:t>
            </w:r>
          </w:p>
        </w:tc>
        <w:tc>
          <w:tcPr>
            <w:tcW w:w="162" w:type="dxa"/>
          </w:tcPr>
          <w:p w14:paraId="7055E490" w14:textId="77777777" w:rsidR="00C26168" w:rsidRPr="003E13C2" w:rsidRDefault="00C26168" w:rsidP="00C26168">
            <w:pPr>
              <w:widowControl/>
              <w:tabs>
                <w:tab w:val="left" w:pos="426"/>
              </w:tabs>
              <w:jc w:val="right"/>
              <w:rPr>
                <w:rFonts w:ascii="Arial" w:hAnsi="Arial" w:cs="Arial"/>
              </w:rPr>
            </w:pPr>
          </w:p>
        </w:tc>
      </w:tr>
      <w:tr w:rsidR="00C26168" w:rsidRPr="003E13C2" w14:paraId="756595D4" w14:textId="77777777" w:rsidTr="00F528DB">
        <w:trPr>
          <w:gridBefore w:val="1"/>
          <w:gridAfter w:val="1"/>
          <w:wBefore w:w="497" w:type="dxa"/>
          <w:wAfter w:w="342" w:type="dxa"/>
          <w:trHeight w:hRule="exact" w:val="278"/>
        </w:trPr>
        <w:tc>
          <w:tcPr>
            <w:tcW w:w="780" w:type="dxa"/>
            <w:gridSpan w:val="2"/>
          </w:tcPr>
          <w:p w14:paraId="516F417F"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34307A68" w14:textId="77777777" w:rsidR="00C26168" w:rsidRPr="003E13C2" w:rsidRDefault="00C26168" w:rsidP="00C26168">
            <w:pPr>
              <w:widowControl/>
              <w:tabs>
                <w:tab w:val="left" w:pos="426"/>
              </w:tabs>
              <w:rPr>
                <w:rFonts w:ascii="Arial" w:hAnsi="Arial" w:cs="Arial"/>
              </w:rPr>
            </w:pPr>
            <w:r w:rsidRPr="003E13C2">
              <w:rPr>
                <w:rFonts w:ascii="Arial" w:hAnsi="Arial" w:cs="Arial"/>
              </w:rPr>
              <w:t>Nezamestnanosť - počet nezamestnaných v krajoch SR (podľa VZPS)</w:t>
            </w:r>
          </w:p>
        </w:tc>
        <w:tc>
          <w:tcPr>
            <w:tcW w:w="162" w:type="dxa"/>
          </w:tcPr>
          <w:p w14:paraId="42D4B662" w14:textId="77777777" w:rsidR="00C26168" w:rsidRPr="003E13C2" w:rsidRDefault="00C26168" w:rsidP="00C26168">
            <w:pPr>
              <w:widowControl/>
              <w:tabs>
                <w:tab w:val="left" w:pos="426"/>
              </w:tabs>
              <w:jc w:val="right"/>
              <w:rPr>
                <w:rFonts w:ascii="Arial" w:hAnsi="Arial" w:cs="Arial"/>
              </w:rPr>
            </w:pPr>
          </w:p>
        </w:tc>
      </w:tr>
      <w:tr w:rsidR="00C26168" w:rsidRPr="003E13C2" w14:paraId="75F12F46" w14:textId="77777777" w:rsidTr="00F528DB">
        <w:trPr>
          <w:gridBefore w:val="1"/>
          <w:gridAfter w:val="1"/>
          <w:wBefore w:w="497" w:type="dxa"/>
          <w:wAfter w:w="342" w:type="dxa"/>
          <w:trHeight w:hRule="exact" w:val="278"/>
        </w:trPr>
        <w:tc>
          <w:tcPr>
            <w:tcW w:w="780" w:type="dxa"/>
            <w:gridSpan w:val="2"/>
          </w:tcPr>
          <w:p w14:paraId="5531EA1D"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c.</w:t>
            </w:r>
          </w:p>
        </w:tc>
        <w:tc>
          <w:tcPr>
            <w:tcW w:w="7725" w:type="dxa"/>
          </w:tcPr>
          <w:p w14:paraId="76EF3D5D" w14:textId="77777777" w:rsidR="00C26168" w:rsidRPr="003E13C2" w:rsidRDefault="00C26168" w:rsidP="00C26168">
            <w:pPr>
              <w:widowControl/>
              <w:tabs>
                <w:tab w:val="left" w:pos="426"/>
              </w:tabs>
              <w:rPr>
                <w:rFonts w:ascii="Arial" w:hAnsi="Arial" w:cs="Arial"/>
              </w:rPr>
            </w:pPr>
            <w:r w:rsidRPr="003E13C2">
              <w:rPr>
                <w:rFonts w:ascii="Arial" w:hAnsi="Arial" w:cs="Arial"/>
              </w:rPr>
              <w:t>Miera nezamestnanosti (podľa VZPS)</w:t>
            </w:r>
          </w:p>
        </w:tc>
        <w:tc>
          <w:tcPr>
            <w:tcW w:w="162" w:type="dxa"/>
          </w:tcPr>
          <w:p w14:paraId="53120907" w14:textId="77777777" w:rsidR="00C26168" w:rsidRPr="003E13C2" w:rsidRDefault="00C26168" w:rsidP="00C26168">
            <w:pPr>
              <w:widowControl/>
              <w:tabs>
                <w:tab w:val="left" w:pos="426"/>
              </w:tabs>
              <w:jc w:val="right"/>
              <w:rPr>
                <w:rFonts w:ascii="Arial" w:hAnsi="Arial" w:cs="Arial"/>
              </w:rPr>
            </w:pPr>
          </w:p>
        </w:tc>
      </w:tr>
      <w:tr w:rsidR="00C26168" w:rsidRPr="003E13C2" w14:paraId="7525BAAC" w14:textId="77777777" w:rsidTr="00F528DB">
        <w:trPr>
          <w:gridBefore w:val="1"/>
          <w:gridAfter w:val="1"/>
          <w:wBefore w:w="497" w:type="dxa"/>
          <w:wAfter w:w="342" w:type="dxa"/>
          <w:trHeight w:hRule="exact" w:val="278"/>
        </w:trPr>
        <w:tc>
          <w:tcPr>
            <w:tcW w:w="780" w:type="dxa"/>
            <w:gridSpan w:val="2"/>
          </w:tcPr>
          <w:p w14:paraId="40AF998C" w14:textId="217F0DED"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5</w:t>
            </w:r>
            <w:r w:rsidRPr="003E13C2">
              <w:rPr>
                <w:rFonts w:ascii="Arial" w:hAnsi="Arial" w:cs="Arial"/>
              </w:rPr>
              <w:t>a.</w:t>
            </w:r>
          </w:p>
        </w:tc>
        <w:tc>
          <w:tcPr>
            <w:tcW w:w="7725" w:type="dxa"/>
          </w:tcPr>
          <w:p w14:paraId="2BA27949"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 podľa ekonomických činností</w:t>
            </w:r>
          </w:p>
        </w:tc>
        <w:tc>
          <w:tcPr>
            <w:tcW w:w="162" w:type="dxa"/>
          </w:tcPr>
          <w:p w14:paraId="1313AECD" w14:textId="77777777" w:rsidR="00C26168" w:rsidRPr="003E13C2" w:rsidRDefault="00C26168" w:rsidP="00C26168">
            <w:pPr>
              <w:widowControl/>
              <w:tabs>
                <w:tab w:val="left" w:pos="426"/>
              </w:tabs>
              <w:jc w:val="right"/>
              <w:rPr>
                <w:rFonts w:ascii="Arial" w:hAnsi="Arial" w:cs="Arial"/>
              </w:rPr>
            </w:pPr>
          </w:p>
        </w:tc>
      </w:tr>
      <w:tr w:rsidR="00C26168" w:rsidRPr="003E13C2" w14:paraId="736BEADA" w14:textId="77777777" w:rsidTr="00F528DB">
        <w:trPr>
          <w:gridBefore w:val="1"/>
          <w:gridAfter w:val="1"/>
          <w:wBefore w:w="497" w:type="dxa"/>
          <w:wAfter w:w="342" w:type="dxa"/>
          <w:trHeight w:hRule="exact" w:val="278"/>
        </w:trPr>
        <w:tc>
          <w:tcPr>
            <w:tcW w:w="780" w:type="dxa"/>
            <w:gridSpan w:val="2"/>
          </w:tcPr>
          <w:p w14:paraId="43774E46"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 xml:space="preserve">b. </w:t>
            </w:r>
          </w:p>
        </w:tc>
        <w:tc>
          <w:tcPr>
            <w:tcW w:w="7725" w:type="dxa"/>
          </w:tcPr>
          <w:p w14:paraId="53029B96"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 v krajoch SR</w:t>
            </w:r>
          </w:p>
        </w:tc>
        <w:tc>
          <w:tcPr>
            <w:tcW w:w="162" w:type="dxa"/>
          </w:tcPr>
          <w:p w14:paraId="2617A043" w14:textId="77777777" w:rsidR="00C26168" w:rsidRPr="003E13C2" w:rsidRDefault="00C26168" w:rsidP="00C26168">
            <w:pPr>
              <w:widowControl/>
              <w:tabs>
                <w:tab w:val="left" w:pos="426"/>
              </w:tabs>
              <w:jc w:val="right"/>
              <w:rPr>
                <w:rFonts w:ascii="Arial" w:hAnsi="Arial" w:cs="Arial"/>
              </w:rPr>
            </w:pPr>
          </w:p>
        </w:tc>
      </w:tr>
      <w:tr w:rsidR="00C26168" w:rsidRPr="003E13C2" w14:paraId="7D95DF87" w14:textId="77777777" w:rsidTr="00F528DB">
        <w:trPr>
          <w:gridBefore w:val="1"/>
          <w:gridAfter w:val="1"/>
          <w:wBefore w:w="497" w:type="dxa"/>
          <w:wAfter w:w="342" w:type="dxa"/>
          <w:trHeight w:hRule="exact" w:val="278"/>
        </w:trPr>
        <w:tc>
          <w:tcPr>
            <w:tcW w:w="780" w:type="dxa"/>
            <w:gridSpan w:val="2"/>
          </w:tcPr>
          <w:p w14:paraId="0E1D9619" w14:textId="37850136"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6</w:t>
            </w:r>
            <w:r w:rsidRPr="003E13C2">
              <w:rPr>
                <w:rFonts w:ascii="Arial" w:hAnsi="Arial" w:cs="Arial"/>
              </w:rPr>
              <w:t>a.</w:t>
            </w:r>
          </w:p>
        </w:tc>
        <w:tc>
          <w:tcPr>
            <w:tcW w:w="7725" w:type="dxa"/>
          </w:tcPr>
          <w:p w14:paraId="2013FBF3" w14:textId="77777777" w:rsidR="00C26168" w:rsidRPr="003E13C2" w:rsidRDefault="00C26168" w:rsidP="00C26168">
            <w:pPr>
              <w:widowControl/>
              <w:tabs>
                <w:tab w:val="left" w:pos="426"/>
              </w:tabs>
              <w:rPr>
                <w:rFonts w:ascii="Arial" w:hAnsi="Arial" w:cs="Arial"/>
              </w:rPr>
            </w:pPr>
            <w:r w:rsidRPr="003E13C2">
              <w:rPr>
                <w:rFonts w:ascii="Arial" w:hAnsi="Arial" w:cs="Arial"/>
              </w:rPr>
              <w:t>Priemerná mesačná nominálna mzda podľa ekonomických činností</w:t>
            </w:r>
          </w:p>
        </w:tc>
        <w:tc>
          <w:tcPr>
            <w:tcW w:w="162" w:type="dxa"/>
          </w:tcPr>
          <w:p w14:paraId="39B55BF7" w14:textId="77777777" w:rsidR="00C26168" w:rsidRPr="003E13C2" w:rsidRDefault="00C26168" w:rsidP="00C26168">
            <w:pPr>
              <w:widowControl/>
              <w:tabs>
                <w:tab w:val="left" w:pos="426"/>
              </w:tabs>
              <w:jc w:val="right"/>
              <w:rPr>
                <w:rFonts w:ascii="Arial" w:hAnsi="Arial" w:cs="Arial"/>
              </w:rPr>
            </w:pPr>
          </w:p>
        </w:tc>
      </w:tr>
      <w:tr w:rsidR="00C26168" w:rsidRPr="003E13C2" w14:paraId="03D9AD90" w14:textId="77777777" w:rsidTr="00F528DB">
        <w:trPr>
          <w:gridBefore w:val="1"/>
          <w:gridAfter w:val="1"/>
          <w:wBefore w:w="497" w:type="dxa"/>
          <w:wAfter w:w="342" w:type="dxa"/>
          <w:trHeight w:hRule="exact" w:val="278"/>
        </w:trPr>
        <w:tc>
          <w:tcPr>
            <w:tcW w:w="780" w:type="dxa"/>
            <w:gridSpan w:val="2"/>
          </w:tcPr>
          <w:p w14:paraId="79AD4536"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07451C89" w14:textId="77777777" w:rsidR="00C26168" w:rsidRPr="003E13C2" w:rsidRDefault="00C26168" w:rsidP="00C26168">
            <w:pPr>
              <w:widowControl/>
              <w:tabs>
                <w:tab w:val="left" w:pos="426"/>
              </w:tabs>
              <w:rPr>
                <w:rFonts w:ascii="Arial" w:hAnsi="Arial" w:cs="Arial"/>
              </w:rPr>
            </w:pPr>
            <w:r w:rsidRPr="003E13C2">
              <w:rPr>
                <w:rFonts w:ascii="Arial" w:hAnsi="Arial" w:cs="Arial"/>
              </w:rPr>
              <w:t>Rast/pokles reálnej mzdy v SR</w:t>
            </w:r>
          </w:p>
        </w:tc>
        <w:tc>
          <w:tcPr>
            <w:tcW w:w="162" w:type="dxa"/>
          </w:tcPr>
          <w:p w14:paraId="01646740" w14:textId="77777777" w:rsidR="00C26168" w:rsidRPr="003E13C2" w:rsidRDefault="00C26168" w:rsidP="00C26168">
            <w:pPr>
              <w:widowControl/>
              <w:tabs>
                <w:tab w:val="left" w:pos="426"/>
              </w:tabs>
              <w:jc w:val="right"/>
              <w:rPr>
                <w:rFonts w:ascii="Arial" w:hAnsi="Arial" w:cs="Arial"/>
              </w:rPr>
            </w:pPr>
          </w:p>
        </w:tc>
      </w:tr>
      <w:tr w:rsidR="00C26168" w:rsidRPr="003E13C2" w14:paraId="2748CBE4" w14:textId="77777777" w:rsidTr="00F528DB">
        <w:trPr>
          <w:gridBefore w:val="1"/>
          <w:gridAfter w:val="1"/>
          <w:wBefore w:w="497" w:type="dxa"/>
          <w:wAfter w:w="342" w:type="dxa"/>
          <w:trHeight w:hRule="exact" w:val="278"/>
        </w:trPr>
        <w:tc>
          <w:tcPr>
            <w:tcW w:w="780" w:type="dxa"/>
            <w:gridSpan w:val="2"/>
          </w:tcPr>
          <w:p w14:paraId="50E42057" w14:textId="183E8073" w:rsidR="00C26168" w:rsidRPr="003E13C2" w:rsidRDefault="00C26168" w:rsidP="00C26168">
            <w:pPr>
              <w:widowControl/>
              <w:tabs>
                <w:tab w:val="left" w:pos="426"/>
              </w:tabs>
              <w:jc w:val="right"/>
              <w:rPr>
                <w:rFonts w:ascii="Arial" w:hAnsi="Arial" w:cs="Arial"/>
              </w:rPr>
            </w:pPr>
            <w:r w:rsidRPr="003E13C2">
              <w:rPr>
                <w:rFonts w:ascii="Arial" w:hAnsi="Arial" w:cs="Arial"/>
              </w:rPr>
              <w:t>c.</w:t>
            </w:r>
            <w:r>
              <w:rPr>
                <w:rFonts w:ascii="Arial" w:hAnsi="Arial" w:cs="Arial"/>
              </w:rPr>
              <w:t xml:space="preserve"> </w:t>
            </w:r>
          </w:p>
        </w:tc>
        <w:tc>
          <w:tcPr>
            <w:tcW w:w="7725" w:type="dxa"/>
          </w:tcPr>
          <w:p w14:paraId="5AB98353" w14:textId="77777777" w:rsidR="00C26168" w:rsidRPr="003E13C2" w:rsidRDefault="00C26168" w:rsidP="00C26168">
            <w:pPr>
              <w:widowControl/>
              <w:tabs>
                <w:tab w:val="left" w:pos="426"/>
              </w:tabs>
              <w:rPr>
                <w:rFonts w:ascii="Arial" w:hAnsi="Arial" w:cs="Arial"/>
              </w:rPr>
            </w:pPr>
            <w:r w:rsidRPr="003E13C2">
              <w:rPr>
                <w:rFonts w:ascii="Arial" w:hAnsi="Arial" w:cs="Arial"/>
              </w:rPr>
              <w:t>Priemerná mesačná nominálna mzda zamestnanca v krajoch SR</w:t>
            </w:r>
          </w:p>
        </w:tc>
        <w:tc>
          <w:tcPr>
            <w:tcW w:w="162" w:type="dxa"/>
          </w:tcPr>
          <w:p w14:paraId="19F00050" w14:textId="77777777" w:rsidR="00C26168" w:rsidRPr="003E13C2" w:rsidRDefault="00C26168" w:rsidP="00C26168">
            <w:pPr>
              <w:widowControl/>
              <w:tabs>
                <w:tab w:val="left" w:pos="426"/>
              </w:tabs>
              <w:jc w:val="right"/>
              <w:rPr>
                <w:rFonts w:ascii="Arial" w:hAnsi="Arial" w:cs="Arial"/>
              </w:rPr>
            </w:pPr>
          </w:p>
        </w:tc>
      </w:tr>
      <w:tr w:rsidR="00C26168" w:rsidRPr="003E13C2" w14:paraId="2B47071F" w14:textId="77777777" w:rsidTr="00F528DB">
        <w:trPr>
          <w:gridBefore w:val="1"/>
          <w:gridAfter w:val="1"/>
          <w:wBefore w:w="497" w:type="dxa"/>
          <w:wAfter w:w="342" w:type="dxa"/>
          <w:trHeight w:hRule="exact" w:val="278"/>
        </w:trPr>
        <w:tc>
          <w:tcPr>
            <w:tcW w:w="780" w:type="dxa"/>
            <w:gridSpan w:val="2"/>
          </w:tcPr>
          <w:p w14:paraId="2EC2A09A"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d.</w:t>
            </w:r>
          </w:p>
        </w:tc>
        <w:tc>
          <w:tcPr>
            <w:tcW w:w="7725" w:type="dxa"/>
          </w:tcPr>
          <w:p w14:paraId="7B980550" w14:textId="77777777" w:rsidR="00C26168" w:rsidRPr="003E13C2" w:rsidRDefault="00C26168" w:rsidP="00C26168">
            <w:pPr>
              <w:widowControl/>
              <w:tabs>
                <w:tab w:val="left" w:pos="426"/>
              </w:tabs>
              <w:rPr>
                <w:rFonts w:ascii="Arial" w:hAnsi="Arial" w:cs="Arial"/>
              </w:rPr>
            </w:pPr>
            <w:r w:rsidRPr="003E13C2">
              <w:rPr>
                <w:rFonts w:ascii="Arial" w:hAnsi="Arial" w:cs="Arial"/>
              </w:rPr>
              <w:t>Rast/pokles reálnej mzdy v krajoch SR</w:t>
            </w:r>
          </w:p>
        </w:tc>
        <w:tc>
          <w:tcPr>
            <w:tcW w:w="162" w:type="dxa"/>
          </w:tcPr>
          <w:p w14:paraId="1210D84F" w14:textId="77777777" w:rsidR="00C26168" w:rsidRPr="003E13C2" w:rsidRDefault="00C26168" w:rsidP="00C26168">
            <w:pPr>
              <w:widowControl/>
              <w:tabs>
                <w:tab w:val="left" w:pos="426"/>
              </w:tabs>
              <w:jc w:val="right"/>
              <w:rPr>
                <w:rFonts w:ascii="Arial" w:hAnsi="Arial" w:cs="Arial"/>
              </w:rPr>
            </w:pPr>
          </w:p>
        </w:tc>
      </w:tr>
      <w:tr w:rsidR="00C26168" w:rsidRPr="003E13C2" w14:paraId="50C4B6CA" w14:textId="77777777" w:rsidTr="00F528DB">
        <w:trPr>
          <w:gridBefore w:val="1"/>
          <w:gridAfter w:val="1"/>
          <w:wBefore w:w="497" w:type="dxa"/>
          <w:wAfter w:w="342" w:type="dxa"/>
        </w:trPr>
        <w:tc>
          <w:tcPr>
            <w:tcW w:w="780" w:type="dxa"/>
            <w:gridSpan w:val="2"/>
          </w:tcPr>
          <w:p w14:paraId="5EE9017C" w14:textId="65190D9D"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7</w:t>
            </w:r>
            <w:r w:rsidRPr="003E13C2">
              <w:rPr>
                <w:rFonts w:ascii="Arial" w:hAnsi="Arial" w:cs="Arial"/>
              </w:rPr>
              <w:t>a.</w:t>
            </w:r>
          </w:p>
        </w:tc>
        <w:tc>
          <w:tcPr>
            <w:tcW w:w="7725" w:type="dxa"/>
          </w:tcPr>
          <w:p w14:paraId="2BEAC7FE" w14:textId="16FF7FE3" w:rsidR="00C26168" w:rsidRPr="003E13C2" w:rsidRDefault="00C26168" w:rsidP="00C26168">
            <w:pPr>
              <w:widowControl/>
              <w:tabs>
                <w:tab w:val="left" w:pos="426"/>
              </w:tabs>
              <w:rPr>
                <w:rFonts w:ascii="Arial" w:hAnsi="Arial" w:cs="Arial"/>
              </w:rPr>
            </w:pPr>
            <w:r w:rsidRPr="003E13C2">
              <w:rPr>
                <w:rFonts w:ascii="Arial" w:hAnsi="Arial" w:cs="Arial"/>
              </w:rPr>
              <w:t>Voľné pracovné miesta a miera voľných pracovných miest podľa ekonomických</w:t>
            </w:r>
            <w:r>
              <w:rPr>
                <w:rFonts w:ascii="Arial" w:hAnsi="Arial" w:cs="Arial"/>
              </w:rPr>
              <w:t xml:space="preserve"> </w:t>
            </w:r>
            <w:r w:rsidRPr="003E13C2">
              <w:rPr>
                <w:rFonts w:ascii="Arial" w:hAnsi="Arial" w:cs="Arial"/>
              </w:rPr>
              <w:t>činností</w:t>
            </w:r>
          </w:p>
        </w:tc>
        <w:tc>
          <w:tcPr>
            <w:tcW w:w="162" w:type="dxa"/>
          </w:tcPr>
          <w:p w14:paraId="69071BDC" w14:textId="77777777" w:rsidR="00C26168" w:rsidRPr="003E13C2" w:rsidRDefault="00C26168" w:rsidP="00C26168">
            <w:pPr>
              <w:widowControl/>
              <w:tabs>
                <w:tab w:val="left" w:pos="426"/>
              </w:tabs>
              <w:jc w:val="right"/>
              <w:rPr>
                <w:rFonts w:ascii="Arial" w:hAnsi="Arial" w:cs="Arial"/>
              </w:rPr>
            </w:pPr>
          </w:p>
        </w:tc>
      </w:tr>
      <w:tr w:rsidR="00C26168" w:rsidRPr="003E13C2" w14:paraId="0C215963" w14:textId="77777777" w:rsidTr="00F528DB">
        <w:trPr>
          <w:gridBefore w:val="1"/>
          <w:gridAfter w:val="1"/>
          <w:wBefore w:w="497" w:type="dxa"/>
          <w:wAfter w:w="342" w:type="dxa"/>
        </w:trPr>
        <w:tc>
          <w:tcPr>
            <w:tcW w:w="780" w:type="dxa"/>
            <w:gridSpan w:val="2"/>
          </w:tcPr>
          <w:p w14:paraId="25A5447E"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504158D5" w14:textId="77777777" w:rsidR="00C26168" w:rsidRPr="003E13C2" w:rsidRDefault="00C26168" w:rsidP="00C26168">
            <w:pPr>
              <w:widowControl/>
              <w:tabs>
                <w:tab w:val="left" w:pos="426"/>
              </w:tabs>
              <w:rPr>
                <w:rFonts w:ascii="Arial" w:hAnsi="Arial" w:cs="Arial"/>
              </w:rPr>
            </w:pPr>
            <w:r w:rsidRPr="003E13C2">
              <w:rPr>
                <w:rFonts w:ascii="Arial" w:hAnsi="Arial" w:cs="Arial"/>
              </w:rPr>
              <w:t>Voľné pracovné miesta v krajoch SR</w:t>
            </w:r>
          </w:p>
        </w:tc>
        <w:tc>
          <w:tcPr>
            <w:tcW w:w="162" w:type="dxa"/>
          </w:tcPr>
          <w:p w14:paraId="75F9D305" w14:textId="77777777" w:rsidR="00C26168" w:rsidRPr="003E13C2" w:rsidRDefault="00C26168" w:rsidP="00C26168">
            <w:pPr>
              <w:widowControl/>
              <w:tabs>
                <w:tab w:val="left" w:pos="426"/>
              </w:tabs>
              <w:jc w:val="right"/>
              <w:rPr>
                <w:rFonts w:ascii="Arial" w:hAnsi="Arial" w:cs="Arial"/>
              </w:rPr>
            </w:pPr>
          </w:p>
        </w:tc>
      </w:tr>
      <w:tr w:rsidR="00C26168" w:rsidRPr="003E13C2" w14:paraId="201F9FD4" w14:textId="77777777" w:rsidTr="00F528DB">
        <w:trPr>
          <w:gridBefore w:val="1"/>
          <w:gridAfter w:val="1"/>
          <w:wBefore w:w="497" w:type="dxa"/>
          <w:wAfter w:w="342" w:type="dxa"/>
        </w:trPr>
        <w:tc>
          <w:tcPr>
            <w:tcW w:w="780" w:type="dxa"/>
            <w:gridSpan w:val="2"/>
          </w:tcPr>
          <w:p w14:paraId="766ED419" w14:textId="7EC9ED7A"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28</w:t>
            </w:r>
            <w:r w:rsidRPr="003E13C2">
              <w:rPr>
                <w:rFonts w:ascii="Arial" w:hAnsi="Arial" w:cs="Arial"/>
              </w:rPr>
              <w:t>.</w:t>
            </w:r>
          </w:p>
        </w:tc>
        <w:tc>
          <w:tcPr>
            <w:tcW w:w="7725" w:type="dxa"/>
          </w:tcPr>
          <w:p w14:paraId="14CBB893" w14:textId="49050AB8" w:rsidR="00C26168" w:rsidRPr="003E13C2" w:rsidRDefault="00C26168" w:rsidP="00C26168">
            <w:pPr>
              <w:widowControl/>
              <w:tabs>
                <w:tab w:val="left" w:pos="426"/>
              </w:tabs>
              <w:rPr>
                <w:rFonts w:ascii="Arial" w:hAnsi="Arial" w:cs="Arial"/>
              </w:rPr>
            </w:pPr>
            <w:r w:rsidRPr="003E13C2">
              <w:rPr>
                <w:rFonts w:ascii="Arial" w:hAnsi="Arial" w:cs="Arial"/>
              </w:rPr>
              <w:t xml:space="preserve">Povinné sociálne poistenie </w:t>
            </w:r>
          </w:p>
        </w:tc>
        <w:tc>
          <w:tcPr>
            <w:tcW w:w="162" w:type="dxa"/>
          </w:tcPr>
          <w:p w14:paraId="66748BAF" w14:textId="77777777" w:rsidR="00C26168" w:rsidRPr="003E13C2" w:rsidRDefault="00C26168" w:rsidP="00C26168">
            <w:pPr>
              <w:widowControl/>
              <w:tabs>
                <w:tab w:val="left" w:pos="426"/>
              </w:tabs>
              <w:jc w:val="right"/>
              <w:rPr>
                <w:rFonts w:ascii="Arial" w:hAnsi="Arial" w:cs="Arial"/>
              </w:rPr>
            </w:pPr>
          </w:p>
        </w:tc>
      </w:tr>
      <w:tr w:rsidR="00C26168" w:rsidRPr="003E13C2" w14:paraId="22BA144A" w14:textId="77777777" w:rsidTr="00F528DB">
        <w:trPr>
          <w:gridBefore w:val="1"/>
          <w:gridAfter w:val="1"/>
          <w:wBefore w:w="497" w:type="dxa"/>
          <w:wAfter w:w="342" w:type="dxa"/>
          <w:trHeight w:hRule="exact" w:val="541"/>
        </w:trPr>
        <w:tc>
          <w:tcPr>
            <w:tcW w:w="780" w:type="dxa"/>
            <w:gridSpan w:val="2"/>
          </w:tcPr>
          <w:p w14:paraId="78434707" w14:textId="1809C06F" w:rsidR="00C26168" w:rsidRPr="003E13C2" w:rsidRDefault="00C26168" w:rsidP="00C26168">
            <w:pPr>
              <w:widowControl/>
              <w:tabs>
                <w:tab w:val="left" w:pos="426"/>
              </w:tabs>
              <w:jc w:val="right"/>
              <w:rPr>
                <w:rFonts w:ascii="Arial" w:hAnsi="Arial" w:cs="Arial"/>
              </w:rPr>
            </w:pPr>
            <w:r>
              <w:rPr>
                <w:rFonts w:ascii="Arial" w:hAnsi="Arial" w:cs="Arial"/>
              </w:rPr>
              <w:t>T29</w:t>
            </w:r>
            <w:r w:rsidRPr="003E13C2">
              <w:rPr>
                <w:rFonts w:ascii="Arial" w:hAnsi="Arial" w:cs="Arial"/>
              </w:rPr>
              <w:t>.</w:t>
            </w:r>
          </w:p>
        </w:tc>
        <w:tc>
          <w:tcPr>
            <w:tcW w:w="7725" w:type="dxa"/>
          </w:tcPr>
          <w:p w14:paraId="4808CE87" w14:textId="5D1285CE" w:rsidR="00C26168" w:rsidRPr="003E13C2" w:rsidRDefault="00C26168" w:rsidP="00C26168">
            <w:pPr>
              <w:widowControl/>
              <w:tabs>
                <w:tab w:val="left" w:pos="426"/>
              </w:tabs>
              <w:rPr>
                <w:rFonts w:ascii="Arial" w:hAnsi="Arial" w:cs="Arial"/>
              </w:rPr>
            </w:pPr>
            <w:r w:rsidRPr="003E13C2">
              <w:rPr>
                <w:rFonts w:ascii="Arial" w:hAnsi="Arial" w:cs="Arial"/>
              </w:rPr>
              <w:t>Dávky dôchodkového a nemocenského poistenia, štátnej podpory, sociálnej pomoci</w:t>
            </w:r>
            <w:r>
              <w:rPr>
                <w:rFonts w:ascii="Arial" w:hAnsi="Arial" w:cs="Arial"/>
              </w:rPr>
              <w:t xml:space="preserve"> </w:t>
            </w:r>
            <w:r w:rsidRPr="003E13C2">
              <w:rPr>
                <w:rFonts w:ascii="Arial" w:hAnsi="Arial" w:cs="Arial"/>
              </w:rPr>
              <w:t>a v nezamestnanosti</w:t>
            </w:r>
          </w:p>
        </w:tc>
        <w:tc>
          <w:tcPr>
            <w:tcW w:w="162" w:type="dxa"/>
          </w:tcPr>
          <w:p w14:paraId="14E7FBF8" w14:textId="77777777" w:rsidR="00C26168" w:rsidRPr="003E13C2" w:rsidRDefault="00C26168" w:rsidP="00C26168">
            <w:pPr>
              <w:widowControl/>
              <w:tabs>
                <w:tab w:val="left" w:pos="426"/>
              </w:tabs>
              <w:jc w:val="right"/>
              <w:rPr>
                <w:rFonts w:ascii="Arial" w:hAnsi="Arial" w:cs="Arial"/>
              </w:rPr>
            </w:pPr>
          </w:p>
        </w:tc>
      </w:tr>
      <w:tr w:rsidR="00C26168" w:rsidRPr="003E13C2" w14:paraId="78BFE034" w14:textId="77777777" w:rsidTr="005B0256">
        <w:trPr>
          <w:gridBefore w:val="1"/>
          <w:gridAfter w:val="1"/>
          <w:wBefore w:w="497" w:type="dxa"/>
          <w:wAfter w:w="342" w:type="dxa"/>
          <w:trHeight w:hRule="exact" w:val="278"/>
        </w:trPr>
        <w:tc>
          <w:tcPr>
            <w:tcW w:w="780" w:type="dxa"/>
            <w:gridSpan w:val="2"/>
          </w:tcPr>
          <w:p w14:paraId="55C36963" w14:textId="600A1E3E" w:rsidR="00C26168" w:rsidRPr="003E13C2" w:rsidRDefault="00C26168" w:rsidP="00C26168">
            <w:pPr>
              <w:widowControl/>
              <w:tabs>
                <w:tab w:val="left" w:pos="426"/>
              </w:tabs>
              <w:jc w:val="right"/>
              <w:rPr>
                <w:rFonts w:ascii="Arial" w:hAnsi="Arial" w:cs="Arial"/>
              </w:rPr>
            </w:pPr>
            <w:r w:rsidRPr="003E13C2">
              <w:rPr>
                <w:rFonts w:ascii="Arial" w:hAnsi="Arial" w:cs="Arial"/>
              </w:rPr>
              <w:t>T3</w:t>
            </w:r>
            <w:r>
              <w:rPr>
                <w:rFonts w:ascii="Arial" w:hAnsi="Arial" w:cs="Arial"/>
              </w:rPr>
              <w:t>0</w:t>
            </w:r>
            <w:r w:rsidR="007F41DE">
              <w:rPr>
                <w:rFonts w:ascii="Arial" w:hAnsi="Arial" w:cs="Arial"/>
              </w:rPr>
              <w:t>a</w:t>
            </w:r>
            <w:r w:rsidRPr="003E13C2">
              <w:rPr>
                <w:rFonts w:ascii="Arial" w:hAnsi="Arial" w:cs="Arial"/>
              </w:rPr>
              <w:t>.</w:t>
            </w:r>
          </w:p>
        </w:tc>
        <w:tc>
          <w:tcPr>
            <w:tcW w:w="7725" w:type="dxa"/>
          </w:tcPr>
          <w:p w14:paraId="44AECCDD" w14:textId="398BA42F" w:rsidR="00C26168" w:rsidRPr="003E13C2" w:rsidRDefault="007F41DE" w:rsidP="00C26168">
            <w:pPr>
              <w:widowControl/>
              <w:tabs>
                <w:tab w:val="left" w:pos="426"/>
              </w:tabs>
              <w:rPr>
                <w:rFonts w:ascii="Arial" w:hAnsi="Arial" w:cs="Arial"/>
              </w:rPr>
            </w:pPr>
            <w:r w:rsidRPr="007F41DE">
              <w:rPr>
                <w:rFonts w:ascii="Arial" w:hAnsi="Arial" w:cs="Arial"/>
              </w:rPr>
              <w:t>Poľnohospodárstvo</w:t>
            </w:r>
          </w:p>
        </w:tc>
        <w:tc>
          <w:tcPr>
            <w:tcW w:w="162" w:type="dxa"/>
          </w:tcPr>
          <w:p w14:paraId="00F60238" w14:textId="77777777" w:rsidR="00C26168" w:rsidRPr="003E13C2" w:rsidRDefault="00C26168" w:rsidP="00C26168">
            <w:pPr>
              <w:widowControl/>
              <w:tabs>
                <w:tab w:val="left" w:pos="426"/>
              </w:tabs>
              <w:jc w:val="right"/>
              <w:rPr>
                <w:rFonts w:ascii="Arial" w:hAnsi="Arial" w:cs="Arial"/>
              </w:rPr>
            </w:pPr>
          </w:p>
        </w:tc>
      </w:tr>
      <w:tr w:rsidR="007F41DE" w:rsidRPr="003E13C2" w14:paraId="7F0AE542" w14:textId="77777777" w:rsidTr="005B0256">
        <w:trPr>
          <w:gridBefore w:val="1"/>
          <w:gridAfter w:val="1"/>
          <w:wBefore w:w="497" w:type="dxa"/>
          <w:wAfter w:w="342" w:type="dxa"/>
          <w:trHeight w:hRule="exact" w:val="278"/>
        </w:trPr>
        <w:tc>
          <w:tcPr>
            <w:tcW w:w="780" w:type="dxa"/>
            <w:gridSpan w:val="2"/>
          </w:tcPr>
          <w:p w14:paraId="3FBCF19B" w14:textId="1DC46522" w:rsidR="007F41DE" w:rsidRPr="003E13C2" w:rsidRDefault="007F41DE" w:rsidP="00C26168">
            <w:pPr>
              <w:widowControl/>
              <w:tabs>
                <w:tab w:val="left" w:pos="426"/>
              </w:tabs>
              <w:jc w:val="right"/>
              <w:rPr>
                <w:rFonts w:ascii="Arial" w:hAnsi="Arial" w:cs="Arial"/>
              </w:rPr>
            </w:pPr>
            <w:r>
              <w:rPr>
                <w:rFonts w:ascii="Arial" w:hAnsi="Arial" w:cs="Arial"/>
              </w:rPr>
              <w:t>b</w:t>
            </w:r>
            <w:r w:rsidRPr="003E13C2">
              <w:rPr>
                <w:rFonts w:ascii="Arial" w:hAnsi="Arial" w:cs="Arial"/>
              </w:rPr>
              <w:t>.</w:t>
            </w:r>
          </w:p>
        </w:tc>
        <w:tc>
          <w:tcPr>
            <w:tcW w:w="7725" w:type="dxa"/>
          </w:tcPr>
          <w:p w14:paraId="4E8D8E44" w14:textId="7D982FA8" w:rsidR="007F41DE" w:rsidRPr="007F41DE" w:rsidRDefault="007F41DE" w:rsidP="00C26168">
            <w:pPr>
              <w:widowControl/>
              <w:tabs>
                <w:tab w:val="left" w:pos="426"/>
              </w:tabs>
              <w:rPr>
                <w:rFonts w:ascii="Arial" w:hAnsi="Arial" w:cs="Arial"/>
              </w:rPr>
            </w:pPr>
            <w:r w:rsidRPr="007F41DE">
              <w:rPr>
                <w:rFonts w:ascii="Arial" w:hAnsi="Arial" w:cs="Arial"/>
              </w:rPr>
              <w:t>Tržby v poľnohospodárstve v krajoch SR</w:t>
            </w:r>
          </w:p>
        </w:tc>
        <w:tc>
          <w:tcPr>
            <w:tcW w:w="162" w:type="dxa"/>
          </w:tcPr>
          <w:p w14:paraId="2797A112" w14:textId="77777777" w:rsidR="007F41DE" w:rsidRPr="003E13C2" w:rsidRDefault="007F41DE" w:rsidP="00C26168">
            <w:pPr>
              <w:widowControl/>
              <w:tabs>
                <w:tab w:val="left" w:pos="426"/>
              </w:tabs>
              <w:jc w:val="right"/>
              <w:rPr>
                <w:rFonts w:ascii="Arial" w:hAnsi="Arial" w:cs="Arial"/>
              </w:rPr>
            </w:pPr>
          </w:p>
        </w:tc>
      </w:tr>
      <w:tr w:rsidR="00C26168" w:rsidRPr="003E13C2" w14:paraId="0A33FE85" w14:textId="77777777" w:rsidTr="005B0256">
        <w:trPr>
          <w:gridBefore w:val="1"/>
          <w:gridAfter w:val="1"/>
          <w:wBefore w:w="497" w:type="dxa"/>
          <w:wAfter w:w="342" w:type="dxa"/>
          <w:trHeight w:hRule="exact" w:val="278"/>
        </w:trPr>
        <w:tc>
          <w:tcPr>
            <w:tcW w:w="780" w:type="dxa"/>
            <w:gridSpan w:val="2"/>
          </w:tcPr>
          <w:p w14:paraId="0B1B501F" w14:textId="0B92D249" w:rsidR="00C26168" w:rsidRPr="003E13C2" w:rsidRDefault="00C26168" w:rsidP="00C26168">
            <w:pPr>
              <w:widowControl/>
              <w:tabs>
                <w:tab w:val="left" w:pos="426"/>
              </w:tabs>
              <w:jc w:val="right"/>
              <w:rPr>
                <w:rFonts w:ascii="Arial" w:hAnsi="Arial" w:cs="Arial"/>
              </w:rPr>
            </w:pPr>
            <w:r w:rsidRPr="003E13C2">
              <w:rPr>
                <w:rFonts w:ascii="Arial" w:hAnsi="Arial" w:cs="Arial"/>
              </w:rPr>
              <w:t>T3</w:t>
            </w:r>
            <w:r>
              <w:rPr>
                <w:rFonts w:ascii="Arial" w:hAnsi="Arial" w:cs="Arial"/>
              </w:rPr>
              <w:t>1</w:t>
            </w:r>
            <w:r w:rsidRPr="003E13C2">
              <w:rPr>
                <w:rFonts w:ascii="Arial" w:hAnsi="Arial" w:cs="Arial"/>
              </w:rPr>
              <w:t>.</w:t>
            </w:r>
          </w:p>
        </w:tc>
        <w:tc>
          <w:tcPr>
            <w:tcW w:w="7725" w:type="dxa"/>
          </w:tcPr>
          <w:p w14:paraId="31DD6059" w14:textId="195A482C" w:rsidR="00C26168" w:rsidRPr="00A225FD" w:rsidRDefault="007F41DE" w:rsidP="00C26168">
            <w:pPr>
              <w:widowControl/>
              <w:tabs>
                <w:tab w:val="left" w:pos="426"/>
              </w:tabs>
              <w:rPr>
                <w:rFonts w:ascii="Arial" w:hAnsi="Arial" w:cs="Arial"/>
              </w:rPr>
            </w:pPr>
            <w:r w:rsidRPr="007F41DE">
              <w:rPr>
                <w:rFonts w:ascii="Arial" w:hAnsi="Arial" w:cs="Arial"/>
              </w:rPr>
              <w:t>Úroda hlavných druhov plodín za rok 2025</w:t>
            </w:r>
          </w:p>
        </w:tc>
        <w:tc>
          <w:tcPr>
            <w:tcW w:w="162" w:type="dxa"/>
          </w:tcPr>
          <w:p w14:paraId="14C5FAD2" w14:textId="77777777" w:rsidR="00C26168" w:rsidRPr="003E13C2" w:rsidRDefault="00C26168" w:rsidP="00C26168">
            <w:pPr>
              <w:widowControl/>
              <w:tabs>
                <w:tab w:val="left" w:pos="426"/>
              </w:tabs>
              <w:jc w:val="right"/>
              <w:rPr>
                <w:rFonts w:ascii="Arial" w:hAnsi="Arial" w:cs="Arial"/>
              </w:rPr>
            </w:pPr>
          </w:p>
        </w:tc>
      </w:tr>
      <w:tr w:rsidR="00C26168" w:rsidRPr="003E13C2" w14:paraId="79FB62A5" w14:textId="77777777" w:rsidTr="00F528DB">
        <w:trPr>
          <w:gridBefore w:val="1"/>
          <w:gridAfter w:val="1"/>
          <w:wBefore w:w="497" w:type="dxa"/>
          <w:wAfter w:w="342" w:type="dxa"/>
          <w:trHeight w:hRule="exact" w:val="278"/>
        </w:trPr>
        <w:tc>
          <w:tcPr>
            <w:tcW w:w="780" w:type="dxa"/>
            <w:gridSpan w:val="2"/>
          </w:tcPr>
          <w:p w14:paraId="4DAB3125" w14:textId="197D774E"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7F41DE">
              <w:rPr>
                <w:rFonts w:ascii="Arial" w:hAnsi="Arial" w:cs="Arial"/>
              </w:rPr>
              <w:t>2</w:t>
            </w:r>
            <w:r w:rsidRPr="003E13C2">
              <w:rPr>
                <w:rFonts w:ascii="Arial" w:hAnsi="Arial" w:cs="Arial"/>
              </w:rPr>
              <w:t>.</w:t>
            </w:r>
          </w:p>
        </w:tc>
        <w:tc>
          <w:tcPr>
            <w:tcW w:w="7725" w:type="dxa"/>
          </w:tcPr>
          <w:p w14:paraId="3B892518" w14:textId="77777777" w:rsidR="00C26168" w:rsidRPr="003E13C2" w:rsidRDefault="00C26168" w:rsidP="00C26168">
            <w:pPr>
              <w:widowControl/>
              <w:tabs>
                <w:tab w:val="left" w:pos="426"/>
              </w:tabs>
              <w:rPr>
                <w:rFonts w:ascii="Arial" w:hAnsi="Arial" w:cs="Arial"/>
              </w:rPr>
            </w:pPr>
            <w:r w:rsidRPr="003E13C2">
              <w:rPr>
                <w:rFonts w:ascii="Arial" w:hAnsi="Arial" w:cs="Arial"/>
              </w:rPr>
              <w:t>Tržby za vlastné výkony a tovar vo vybraných odvetviach</w:t>
            </w:r>
          </w:p>
        </w:tc>
        <w:tc>
          <w:tcPr>
            <w:tcW w:w="162" w:type="dxa"/>
          </w:tcPr>
          <w:p w14:paraId="1760DC98" w14:textId="77777777" w:rsidR="00C26168" w:rsidRPr="003E13C2" w:rsidRDefault="00C26168" w:rsidP="00C26168">
            <w:pPr>
              <w:widowControl/>
              <w:tabs>
                <w:tab w:val="left" w:pos="426"/>
              </w:tabs>
              <w:jc w:val="right"/>
              <w:rPr>
                <w:rFonts w:ascii="Arial" w:hAnsi="Arial" w:cs="Arial"/>
              </w:rPr>
            </w:pPr>
          </w:p>
        </w:tc>
      </w:tr>
      <w:tr w:rsidR="00C26168" w:rsidRPr="003E13C2" w14:paraId="56375617" w14:textId="77777777" w:rsidTr="00F528DB">
        <w:trPr>
          <w:gridBefore w:val="1"/>
          <w:gridAfter w:val="1"/>
          <w:wBefore w:w="497" w:type="dxa"/>
          <w:wAfter w:w="342" w:type="dxa"/>
          <w:trHeight w:hRule="exact" w:val="278"/>
        </w:trPr>
        <w:tc>
          <w:tcPr>
            <w:tcW w:w="780" w:type="dxa"/>
            <w:gridSpan w:val="2"/>
          </w:tcPr>
          <w:p w14:paraId="3C045352" w14:textId="7EA18889" w:rsidR="00C26168" w:rsidRPr="003E13C2" w:rsidRDefault="00C26168" w:rsidP="00C26168">
            <w:pPr>
              <w:widowControl/>
              <w:tabs>
                <w:tab w:val="left" w:pos="426"/>
              </w:tabs>
              <w:jc w:val="right"/>
              <w:rPr>
                <w:rFonts w:ascii="Arial" w:hAnsi="Arial" w:cs="Arial"/>
              </w:rPr>
            </w:pPr>
            <w:r>
              <w:rPr>
                <w:rFonts w:ascii="Arial" w:hAnsi="Arial" w:cs="Arial"/>
              </w:rPr>
              <w:t>T3</w:t>
            </w:r>
            <w:r w:rsidR="007F41DE">
              <w:rPr>
                <w:rFonts w:ascii="Arial" w:hAnsi="Arial" w:cs="Arial"/>
              </w:rPr>
              <w:t>3</w:t>
            </w:r>
            <w:r w:rsidRPr="003E13C2">
              <w:rPr>
                <w:rFonts w:ascii="Arial" w:hAnsi="Arial" w:cs="Arial"/>
              </w:rPr>
              <w:t>.</w:t>
            </w:r>
          </w:p>
        </w:tc>
        <w:tc>
          <w:tcPr>
            <w:tcW w:w="7725" w:type="dxa"/>
          </w:tcPr>
          <w:p w14:paraId="0CFD428A" w14:textId="77777777" w:rsidR="00C26168" w:rsidRPr="003E13C2" w:rsidRDefault="00C26168" w:rsidP="00C26168">
            <w:pPr>
              <w:widowControl/>
              <w:tabs>
                <w:tab w:val="left" w:pos="426"/>
              </w:tabs>
              <w:rPr>
                <w:rFonts w:ascii="Arial" w:hAnsi="Arial" w:cs="Arial"/>
              </w:rPr>
            </w:pPr>
            <w:r w:rsidRPr="003E13C2">
              <w:rPr>
                <w:rFonts w:ascii="Arial" w:hAnsi="Arial" w:cs="Arial"/>
              </w:rPr>
              <w:t>Priemysel - priemyselná produkcia</w:t>
            </w:r>
          </w:p>
        </w:tc>
        <w:tc>
          <w:tcPr>
            <w:tcW w:w="162" w:type="dxa"/>
          </w:tcPr>
          <w:p w14:paraId="6AEE6220" w14:textId="77777777" w:rsidR="00C26168" w:rsidRPr="003E13C2" w:rsidRDefault="00C26168" w:rsidP="00C26168">
            <w:pPr>
              <w:widowControl/>
              <w:tabs>
                <w:tab w:val="left" w:pos="426"/>
              </w:tabs>
              <w:jc w:val="right"/>
              <w:rPr>
                <w:rFonts w:ascii="Arial" w:hAnsi="Arial" w:cs="Arial"/>
              </w:rPr>
            </w:pPr>
          </w:p>
        </w:tc>
      </w:tr>
      <w:tr w:rsidR="00C26168" w:rsidRPr="003E13C2" w14:paraId="6562617D" w14:textId="77777777" w:rsidTr="00F528DB">
        <w:trPr>
          <w:gridBefore w:val="1"/>
          <w:gridAfter w:val="1"/>
          <w:wBefore w:w="497" w:type="dxa"/>
          <w:wAfter w:w="342" w:type="dxa"/>
          <w:trHeight w:hRule="exact" w:val="278"/>
        </w:trPr>
        <w:tc>
          <w:tcPr>
            <w:tcW w:w="780" w:type="dxa"/>
            <w:gridSpan w:val="2"/>
          </w:tcPr>
          <w:p w14:paraId="23EEA2EC" w14:textId="132ADD4C" w:rsidR="00C26168" w:rsidRPr="003E13C2" w:rsidRDefault="00C26168" w:rsidP="00C26168">
            <w:pPr>
              <w:widowControl/>
              <w:tabs>
                <w:tab w:val="left" w:pos="426"/>
              </w:tabs>
              <w:jc w:val="right"/>
              <w:rPr>
                <w:rFonts w:ascii="Arial" w:hAnsi="Arial" w:cs="Arial"/>
              </w:rPr>
            </w:pPr>
            <w:r>
              <w:rPr>
                <w:rFonts w:ascii="Arial" w:hAnsi="Arial" w:cs="Arial"/>
              </w:rPr>
              <w:t>T3</w:t>
            </w:r>
            <w:r w:rsidR="007F41DE">
              <w:rPr>
                <w:rFonts w:ascii="Arial" w:hAnsi="Arial" w:cs="Arial"/>
              </w:rPr>
              <w:t>4</w:t>
            </w:r>
            <w:r w:rsidRPr="003E13C2">
              <w:rPr>
                <w:rFonts w:ascii="Arial" w:hAnsi="Arial" w:cs="Arial"/>
              </w:rPr>
              <w:t>a.</w:t>
            </w:r>
          </w:p>
        </w:tc>
        <w:tc>
          <w:tcPr>
            <w:tcW w:w="7725" w:type="dxa"/>
          </w:tcPr>
          <w:p w14:paraId="14ED0729" w14:textId="77777777" w:rsidR="00C26168" w:rsidRPr="003E13C2" w:rsidRDefault="00C26168" w:rsidP="00C26168">
            <w:pPr>
              <w:widowControl/>
              <w:tabs>
                <w:tab w:val="left" w:pos="426"/>
              </w:tabs>
              <w:rPr>
                <w:rFonts w:ascii="Arial" w:hAnsi="Arial" w:cs="Arial"/>
              </w:rPr>
            </w:pPr>
            <w:r w:rsidRPr="003E13C2">
              <w:rPr>
                <w:rFonts w:ascii="Arial" w:hAnsi="Arial" w:cs="Arial"/>
              </w:rPr>
              <w:t>Priemysel - vybrané ukazovatele</w:t>
            </w:r>
          </w:p>
        </w:tc>
        <w:tc>
          <w:tcPr>
            <w:tcW w:w="162" w:type="dxa"/>
          </w:tcPr>
          <w:p w14:paraId="6438780C" w14:textId="77777777" w:rsidR="00C26168" w:rsidRPr="003E13C2" w:rsidRDefault="00C26168" w:rsidP="00C26168">
            <w:pPr>
              <w:widowControl/>
              <w:tabs>
                <w:tab w:val="left" w:pos="426"/>
              </w:tabs>
              <w:jc w:val="right"/>
              <w:rPr>
                <w:rFonts w:ascii="Arial" w:hAnsi="Arial" w:cs="Arial"/>
              </w:rPr>
            </w:pPr>
          </w:p>
        </w:tc>
      </w:tr>
      <w:tr w:rsidR="00C26168" w:rsidRPr="003E13C2" w14:paraId="465BDA22" w14:textId="77777777" w:rsidTr="00F528DB">
        <w:trPr>
          <w:gridBefore w:val="1"/>
          <w:gridAfter w:val="1"/>
          <w:wBefore w:w="497" w:type="dxa"/>
          <w:wAfter w:w="342" w:type="dxa"/>
          <w:trHeight w:hRule="exact" w:val="278"/>
        </w:trPr>
        <w:tc>
          <w:tcPr>
            <w:tcW w:w="780" w:type="dxa"/>
            <w:gridSpan w:val="2"/>
          </w:tcPr>
          <w:p w14:paraId="0A42DF4A"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427CDC6B" w14:textId="77777777" w:rsidR="00C26168" w:rsidRPr="003E13C2" w:rsidRDefault="00C26168" w:rsidP="00C26168">
            <w:pPr>
              <w:widowControl/>
              <w:tabs>
                <w:tab w:val="left" w:pos="426"/>
              </w:tabs>
              <w:rPr>
                <w:rFonts w:ascii="Arial" w:hAnsi="Arial" w:cs="Arial"/>
              </w:rPr>
            </w:pPr>
            <w:r w:rsidRPr="003E13C2">
              <w:rPr>
                <w:rFonts w:ascii="Arial" w:hAnsi="Arial" w:cs="Arial"/>
              </w:rPr>
              <w:t>Tržby za vlastné výkony a tovar v priemysle v krajoch SR</w:t>
            </w:r>
          </w:p>
        </w:tc>
        <w:tc>
          <w:tcPr>
            <w:tcW w:w="162" w:type="dxa"/>
          </w:tcPr>
          <w:p w14:paraId="4B20DA19" w14:textId="77777777" w:rsidR="00C26168" w:rsidRPr="003E13C2" w:rsidRDefault="00C26168" w:rsidP="00C26168">
            <w:pPr>
              <w:widowControl/>
              <w:tabs>
                <w:tab w:val="left" w:pos="426"/>
              </w:tabs>
              <w:jc w:val="right"/>
              <w:rPr>
                <w:rFonts w:ascii="Arial" w:hAnsi="Arial" w:cs="Arial"/>
              </w:rPr>
            </w:pPr>
          </w:p>
        </w:tc>
      </w:tr>
      <w:tr w:rsidR="00C26168" w:rsidRPr="003E13C2" w14:paraId="34F4B547" w14:textId="77777777" w:rsidTr="00F528DB">
        <w:trPr>
          <w:gridBefore w:val="1"/>
          <w:gridAfter w:val="1"/>
          <w:wBefore w:w="497" w:type="dxa"/>
          <w:wAfter w:w="342" w:type="dxa"/>
          <w:trHeight w:hRule="exact" w:val="278"/>
        </w:trPr>
        <w:tc>
          <w:tcPr>
            <w:tcW w:w="780" w:type="dxa"/>
            <w:gridSpan w:val="2"/>
          </w:tcPr>
          <w:p w14:paraId="4CCC1727" w14:textId="1DBFBE80"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7F41DE">
              <w:rPr>
                <w:rFonts w:ascii="Arial" w:hAnsi="Arial" w:cs="Arial"/>
              </w:rPr>
              <w:t>5</w:t>
            </w:r>
            <w:r w:rsidRPr="003E13C2">
              <w:rPr>
                <w:rFonts w:ascii="Arial" w:hAnsi="Arial" w:cs="Arial"/>
              </w:rPr>
              <w:t>a.</w:t>
            </w:r>
          </w:p>
        </w:tc>
        <w:tc>
          <w:tcPr>
            <w:tcW w:w="7725" w:type="dxa"/>
          </w:tcPr>
          <w:p w14:paraId="4CA113FA" w14:textId="77777777" w:rsidR="00C26168" w:rsidRPr="003E13C2" w:rsidRDefault="00C26168" w:rsidP="00C26168">
            <w:pPr>
              <w:widowControl/>
              <w:tabs>
                <w:tab w:val="left" w:pos="426"/>
              </w:tabs>
              <w:rPr>
                <w:rFonts w:ascii="Arial" w:hAnsi="Arial" w:cs="Arial"/>
              </w:rPr>
            </w:pPr>
            <w:r w:rsidRPr="003E13C2">
              <w:rPr>
                <w:rFonts w:ascii="Arial" w:hAnsi="Arial" w:cs="Arial"/>
              </w:rPr>
              <w:t>Stavebníctvo</w:t>
            </w:r>
          </w:p>
        </w:tc>
        <w:tc>
          <w:tcPr>
            <w:tcW w:w="162" w:type="dxa"/>
          </w:tcPr>
          <w:p w14:paraId="5A882B5F" w14:textId="77777777" w:rsidR="00C26168" w:rsidRPr="003E13C2" w:rsidRDefault="00C26168" w:rsidP="00C26168">
            <w:pPr>
              <w:widowControl/>
              <w:tabs>
                <w:tab w:val="left" w:pos="426"/>
              </w:tabs>
              <w:jc w:val="right"/>
              <w:rPr>
                <w:rFonts w:ascii="Arial" w:hAnsi="Arial" w:cs="Arial"/>
              </w:rPr>
            </w:pPr>
          </w:p>
        </w:tc>
      </w:tr>
      <w:tr w:rsidR="00C26168" w:rsidRPr="003E13C2" w14:paraId="12B2BBCF" w14:textId="77777777" w:rsidTr="00F528DB">
        <w:trPr>
          <w:gridBefore w:val="1"/>
          <w:gridAfter w:val="1"/>
          <w:wBefore w:w="497" w:type="dxa"/>
          <w:wAfter w:w="342" w:type="dxa"/>
          <w:trHeight w:hRule="exact" w:val="278"/>
        </w:trPr>
        <w:tc>
          <w:tcPr>
            <w:tcW w:w="780" w:type="dxa"/>
            <w:gridSpan w:val="2"/>
          </w:tcPr>
          <w:p w14:paraId="2ADB2F80"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35B9F8A6" w14:textId="77777777" w:rsidR="00C26168" w:rsidRPr="003E13C2" w:rsidRDefault="00C26168" w:rsidP="00C26168">
            <w:pPr>
              <w:widowControl/>
              <w:tabs>
                <w:tab w:val="left" w:pos="426"/>
              </w:tabs>
              <w:rPr>
                <w:rFonts w:ascii="Arial" w:hAnsi="Arial" w:cs="Arial"/>
              </w:rPr>
            </w:pPr>
            <w:r w:rsidRPr="003E13C2">
              <w:rPr>
                <w:rFonts w:ascii="Arial" w:hAnsi="Arial" w:cs="Arial"/>
              </w:rPr>
              <w:t>Produkcia a tržby za vlastné výkony a tovar v stavebníctve v krajoch SR</w:t>
            </w:r>
          </w:p>
        </w:tc>
        <w:tc>
          <w:tcPr>
            <w:tcW w:w="162" w:type="dxa"/>
          </w:tcPr>
          <w:p w14:paraId="3A84C628" w14:textId="77777777" w:rsidR="00C26168" w:rsidRPr="003E13C2" w:rsidRDefault="00C26168" w:rsidP="00C26168">
            <w:pPr>
              <w:widowControl/>
              <w:tabs>
                <w:tab w:val="left" w:pos="426"/>
              </w:tabs>
              <w:jc w:val="right"/>
              <w:rPr>
                <w:rFonts w:ascii="Arial" w:hAnsi="Arial" w:cs="Arial"/>
              </w:rPr>
            </w:pPr>
          </w:p>
        </w:tc>
      </w:tr>
      <w:tr w:rsidR="00C26168" w:rsidRPr="003E13C2" w14:paraId="0EE1DC3B" w14:textId="77777777" w:rsidTr="00F528DB">
        <w:trPr>
          <w:gridBefore w:val="1"/>
          <w:gridAfter w:val="1"/>
          <w:wBefore w:w="497" w:type="dxa"/>
          <w:wAfter w:w="342" w:type="dxa"/>
          <w:trHeight w:hRule="exact" w:val="278"/>
        </w:trPr>
        <w:tc>
          <w:tcPr>
            <w:tcW w:w="780" w:type="dxa"/>
            <w:gridSpan w:val="2"/>
          </w:tcPr>
          <w:p w14:paraId="6DDBAE6B" w14:textId="5E94ACC4"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7F41DE">
              <w:rPr>
                <w:rFonts w:ascii="Arial" w:hAnsi="Arial" w:cs="Arial"/>
              </w:rPr>
              <w:t>6</w:t>
            </w:r>
            <w:r w:rsidRPr="003E13C2">
              <w:rPr>
                <w:rFonts w:ascii="Arial" w:hAnsi="Arial" w:cs="Arial"/>
              </w:rPr>
              <w:t>.</w:t>
            </w:r>
          </w:p>
        </w:tc>
        <w:tc>
          <w:tcPr>
            <w:tcW w:w="7725" w:type="dxa"/>
          </w:tcPr>
          <w:p w14:paraId="1FBF1DE2" w14:textId="77777777" w:rsidR="00C26168" w:rsidRPr="003E13C2" w:rsidRDefault="00C26168" w:rsidP="00C26168">
            <w:pPr>
              <w:widowControl/>
              <w:tabs>
                <w:tab w:val="left" w:pos="426"/>
              </w:tabs>
              <w:rPr>
                <w:rFonts w:ascii="Arial" w:hAnsi="Arial" w:cs="Arial"/>
              </w:rPr>
            </w:pPr>
            <w:r w:rsidRPr="003E13C2">
              <w:rPr>
                <w:rFonts w:ascii="Arial" w:hAnsi="Arial" w:cs="Arial"/>
              </w:rPr>
              <w:t>Vnútorný obchod, ubytovanie, činnosti reštaurácií a pohostinstiev</w:t>
            </w:r>
          </w:p>
        </w:tc>
        <w:tc>
          <w:tcPr>
            <w:tcW w:w="162" w:type="dxa"/>
          </w:tcPr>
          <w:p w14:paraId="01EA26DF" w14:textId="77777777" w:rsidR="00C26168" w:rsidRPr="003E13C2" w:rsidRDefault="00C26168" w:rsidP="00C26168">
            <w:pPr>
              <w:widowControl/>
              <w:tabs>
                <w:tab w:val="left" w:pos="426"/>
              </w:tabs>
              <w:jc w:val="right"/>
              <w:rPr>
                <w:rFonts w:ascii="Arial" w:hAnsi="Arial" w:cs="Arial"/>
              </w:rPr>
            </w:pPr>
          </w:p>
        </w:tc>
      </w:tr>
      <w:tr w:rsidR="00C26168" w:rsidRPr="003E13C2" w14:paraId="5327191C" w14:textId="77777777" w:rsidTr="00F528DB">
        <w:trPr>
          <w:gridBefore w:val="1"/>
          <w:gridAfter w:val="1"/>
          <w:wBefore w:w="497" w:type="dxa"/>
          <w:wAfter w:w="342" w:type="dxa"/>
          <w:trHeight w:hRule="exact" w:val="278"/>
        </w:trPr>
        <w:tc>
          <w:tcPr>
            <w:tcW w:w="780" w:type="dxa"/>
            <w:gridSpan w:val="2"/>
          </w:tcPr>
          <w:p w14:paraId="09CA8527" w14:textId="19E25E08"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7F41DE">
              <w:rPr>
                <w:rFonts w:ascii="Arial" w:hAnsi="Arial" w:cs="Arial"/>
              </w:rPr>
              <w:t>7</w:t>
            </w:r>
            <w:r w:rsidRPr="003E13C2">
              <w:rPr>
                <w:rFonts w:ascii="Arial" w:hAnsi="Arial" w:cs="Arial"/>
              </w:rPr>
              <w:t>.</w:t>
            </w:r>
          </w:p>
        </w:tc>
        <w:tc>
          <w:tcPr>
            <w:tcW w:w="7725" w:type="dxa"/>
          </w:tcPr>
          <w:p w14:paraId="3962D8C0" w14:textId="506E19B9" w:rsidR="00C26168" w:rsidRPr="003E13C2" w:rsidRDefault="00C26168" w:rsidP="00C26168">
            <w:pPr>
              <w:widowControl/>
              <w:tabs>
                <w:tab w:val="left" w:pos="426"/>
              </w:tabs>
              <w:rPr>
                <w:rFonts w:ascii="Arial" w:hAnsi="Arial" w:cs="Arial"/>
              </w:rPr>
            </w:pPr>
            <w:r w:rsidRPr="003E13C2">
              <w:rPr>
                <w:rFonts w:ascii="Arial" w:hAnsi="Arial" w:cs="Arial"/>
              </w:rPr>
              <w:t>Doprava a</w:t>
            </w:r>
            <w:r>
              <w:rPr>
                <w:rFonts w:ascii="Arial" w:hAnsi="Arial" w:cs="Arial"/>
              </w:rPr>
              <w:t> </w:t>
            </w:r>
            <w:r w:rsidRPr="003E13C2">
              <w:rPr>
                <w:rFonts w:ascii="Arial" w:hAnsi="Arial" w:cs="Arial"/>
              </w:rPr>
              <w:t>skladovanie</w:t>
            </w:r>
          </w:p>
        </w:tc>
        <w:tc>
          <w:tcPr>
            <w:tcW w:w="162" w:type="dxa"/>
          </w:tcPr>
          <w:p w14:paraId="2021FE57" w14:textId="77777777" w:rsidR="00C26168" w:rsidRPr="003E13C2" w:rsidRDefault="00C26168" w:rsidP="00C26168">
            <w:pPr>
              <w:widowControl/>
              <w:tabs>
                <w:tab w:val="left" w:pos="426"/>
              </w:tabs>
              <w:jc w:val="right"/>
              <w:rPr>
                <w:rFonts w:ascii="Arial" w:hAnsi="Arial" w:cs="Arial"/>
              </w:rPr>
            </w:pPr>
          </w:p>
        </w:tc>
      </w:tr>
      <w:tr w:rsidR="00C26168" w:rsidRPr="003E13C2" w14:paraId="37429C54" w14:textId="77777777" w:rsidTr="00F528DB">
        <w:trPr>
          <w:gridBefore w:val="1"/>
          <w:gridAfter w:val="1"/>
          <w:wBefore w:w="497" w:type="dxa"/>
          <w:wAfter w:w="342" w:type="dxa"/>
          <w:trHeight w:hRule="exact" w:val="278"/>
        </w:trPr>
        <w:tc>
          <w:tcPr>
            <w:tcW w:w="780" w:type="dxa"/>
            <w:gridSpan w:val="2"/>
          </w:tcPr>
          <w:p w14:paraId="1DFB2848" w14:textId="129EE697"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3</w:t>
            </w:r>
            <w:r w:rsidR="007F41DE">
              <w:rPr>
                <w:rFonts w:ascii="Arial" w:hAnsi="Arial" w:cs="Arial"/>
              </w:rPr>
              <w:t>8</w:t>
            </w:r>
            <w:r w:rsidRPr="003E13C2">
              <w:rPr>
                <w:rFonts w:ascii="Arial" w:hAnsi="Arial" w:cs="Arial"/>
              </w:rPr>
              <w:t>.</w:t>
            </w:r>
          </w:p>
        </w:tc>
        <w:tc>
          <w:tcPr>
            <w:tcW w:w="7725" w:type="dxa"/>
          </w:tcPr>
          <w:p w14:paraId="47451538" w14:textId="16E32ABF" w:rsidR="00C26168" w:rsidRPr="003E13C2" w:rsidRDefault="00C26168" w:rsidP="00C26168">
            <w:pPr>
              <w:widowControl/>
              <w:tabs>
                <w:tab w:val="left" w:pos="426"/>
              </w:tabs>
              <w:rPr>
                <w:rFonts w:ascii="Arial" w:hAnsi="Arial" w:cs="Arial"/>
              </w:rPr>
            </w:pPr>
            <w:r w:rsidRPr="003E13C2">
              <w:rPr>
                <w:rFonts w:ascii="Arial" w:hAnsi="Arial" w:cs="Arial"/>
              </w:rPr>
              <w:t>Informácie a</w:t>
            </w:r>
            <w:r>
              <w:rPr>
                <w:rFonts w:ascii="Arial" w:hAnsi="Arial" w:cs="Arial"/>
              </w:rPr>
              <w:t> </w:t>
            </w:r>
            <w:r w:rsidRPr="003E13C2">
              <w:rPr>
                <w:rFonts w:ascii="Arial" w:hAnsi="Arial" w:cs="Arial"/>
              </w:rPr>
              <w:t>komunikácia</w:t>
            </w:r>
          </w:p>
        </w:tc>
        <w:tc>
          <w:tcPr>
            <w:tcW w:w="162" w:type="dxa"/>
          </w:tcPr>
          <w:p w14:paraId="404BCEA0" w14:textId="77777777" w:rsidR="00C26168" w:rsidRPr="003E13C2" w:rsidRDefault="00C26168" w:rsidP="00C26168">
            <w:pPr>
              <w:widowControl/>
              <w:tabs>
                <w:tab w:val="left" w:pos="426"/>
              </w:tabs>
              <w:jc w:val="right"/>
              <w:rPr>
                <w:rFonts w:ascii="Arial" w:hAnsi="Arial" w:cs="Arial"/>
              </w:rPr>
            </w:pPr>
          </w:p>
        </w:tc>
      </w:tr>
      <w:tr w:rsidR="00C26168" w:rsidRPr="003E13C2" w14:paraId="3C2A5532" w14:textId="77777777" w:rsidTr="00F528DB">
        <w:trPr>
          <w:gridBefore w:val="1"/>
          <w:gridAfter w:val="1"/>
          <w:wBefore w:w="497" w:type="dxa"/>
          <w:wAfter w:w="342" w:type="dxa"/>
          <w:trHeight w:hRule="exact" w:val="278"/>
        </w:trPr>
        <w:tc>
          <w:tcPr>
            <w:tcW w:w="780" w:type="dxa"/>
            <w:gridSpan w:val="2"/>
          </w:tcPr>
          <w:p w14:paraId="117411F1" w14:textId="3C5F7AEA"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3</w:t>
            </w:r>
            <w:r w:rsidR="007F41DE">
              <w:rPr>
                <w:rFonts w:ascii="Arial" w:hAnsi="Arial" w:cs="Arial"/>
              </w:rPr>
              <w:t>9</w:t>
            </w:r>
            <w:r w:rsidRPr="003E13C2">
              <w:rPr>
                <w:rFonts w:ascii="Arial" w:hAnsi="Arial" w:cs="Arial"/>
              </w:rPr>
              <w:t>.</w:t>
            </w:r>
          </w:p>
        </w:tc>
        <w:tc>
          <w:tcPr>
            <w:tcW w:w="7725" w:type="dxa"/>
          </w:tcPr>
          <w:p w14:paraId="2CE112B5" w14:textId="77777777" w:rsidR="00C26168" w:rsidRPr="003E13C2" w:rsidRDefault="00C26168" w:rsidP="00C26168">
            <w:pPr>
              <w:widowControl/>
              <w:tabs>
                <w:tab w:val="left" w:pos="426"/>
              </w:tabs>
              <w:rPr>
                <w:rFonts w:ascii="Arial" w:hAnsi="Arial" w:cs="Arial"/>
              </w:rPr>
            </w:pPr>
            <w:r w:rsidRPr="003E13C2">
              <w:rPr>
                <w:rFonts w:ascii="Arial" w:hAnsi="Arial" w:cs="Arial"/>
              </w:rPr>
              <w:t>Vybrané trhové služby</w:t>
            </w:r>
          </w:p>
        </w:tc>
        <w:tc>
          <w:tcPr>
            <w:tcW w:w="162" w:type="dxa"/>
          </w:tcPr>
          <w:p w14:paraId="51978085" w14:textId="77777777" w:rsidR="00C26168" w:rsidRPr="003E13C2" w:rsidRDefault="00C26168" w:rsidP="00C26168">
            <w:pPr>
              <w:widowControl/>
              <w:tabs>
                <w:tab w:val="left" w:pos="426"/>
              </w:tabs>
              <w:jc w:val="right"/>
              <w:rPr>
                <w:rFonts w:ascii="Arial" w:hAnsi="Arial" w:cs="Arial"/>
              </w:rPr>
            </w:pPr>
          </w:p>
        </w:tc>
      </w:tr>
      <w:tr w:rsidR="00C26168" w:rsidRPr="003E13C2" w14:paraId="1C33B190" w14:textId="77777777" w:rsidTr="00F528DB">
        <w:trPr>
          <w:gridBefore w:val="1"/>
          <w:gridAfter w:val="1"/>
          <w:wBefore w:w="497" w:type="dxa"/>
          <w:wAfter w:w="342" w:type="dxa"/>
          <w:trHeight w:hRule="exact" w:val="278"/>
        </w:trPr>
        <w:tc>
          <w:tcPr>
            <w:tcW w:w="780" w:type="dxa"/>
            <w:gridSpan w:val="2"/>
          </w:tcPr>
          <w:p w14:paraId="3F1321B3" w14:textId="4105D2B2" w:rsidR="00C26168" w:rsidRPr="003E13C2" w:rsidRDefault="00C26168" w:rsidP="00C26168">
            <w:pPr>
              <w:widowControl/>
              <w:tabs>
                <w:tab w:val="left" w:pos="426"/>
              </w:tabs>
              <w:jc w:val="right"/>
              <w:rPr>
                <w:rFonts w:ascii="Arial" w:hAnsi="Arial" w:cs="Arial"/>
              </w:rPr>
            </w:pPr>
            <w:r w:rsidRPr="003E13C2">
              <w:rPr>
                <w:rFonts w:ascii="Arial" w:hAnsi="Arial" w:cs="Arial"/>
              </w:rPr>
              <w:t>T</w:t>
            </w:r>
            <w:r w:rsidR="007F41DE">
              <w:rPr>
                <w:rFonts w:ascii="Arial" w:hAnsi="Arial" w:cs="Arial"/>
              </w:rPr>
              <w:t>40</w:t>
            </w:r>
            <w:r w:rsidRPr="003E13C2">
              <w:rPr>
                <w:rFonts w:ascii="Arial" w:hAnsi="Arial" w:cs="Arial"/>
              </w:rPr>
              <w:t>.</w:t>
            </w:r>
          </w:p>
        </w:tc>
        <w:tc>
          <w:tcPr>
            <w:tcW w:w="7725" w:type="dxa"/>
          </w:tcPr>
          <w:p w14:paraId="5C00B541" w14:textId="77777777" w:rsidR="00C26168" w:rsidRPr="003E13C2" w:rsidRDefault="00C26168" w:rsidP="00C26168">
            <w:pPr>
              <w:widowControl/>
              <w:tabs>
                <w:tab w:val="left" w:pos="426"/>
              </w:tabs>
              <w:rPr>
                <w:rFonts w:ascii="Arial" w:hAnsi="Arial" w:cs="Arial"/>
              </w:rPr>
            </w:pPr>
            <w:r w:rsidRPr="003E13C2">
              <w:rPr>
                <w:rFonts w:ascii="Arial" w:hAnsi="Arial" w:cs="Arial"/>
              </w:rPr>
              <w:t>Cestovný ruch</w:t>
            </w:r>
          </w:p>
        </w:tc>
        <w:tc>
          <w:tcPr>
            <w:tcW w:w="162" w:type="dxa"/>
          </w:tcPr>
          <w:p w14:paraId="223667AA" w14:textId="77777777" w:rsidR="00C26168" w:rsidRPr="003E13C2" w:rsidRDefault="00C26168" w:rsidP="00C26168">
            <w:pPr>
              <w:widowControl/>
              <w:tabs>
                <w:tab w:val="left" w:pos="426"/>
              </w:tabs>
              <w:jc w:val="right"/>
              <w:rPr>
                <w:rFonts w:ascii="Arial" w:hAnsi="Arial" w:cs="Arial"/>
              </w:rPr>
            </w:pPr>
          </w:p>
        </w:tc>
      </w:tr>
      <w:tr w:rsidR="00C26168" w:rsidRPr="003E13C2" w14:paraId="6E90168D" w14:textId="77777777" w:rsidTr="00F528DB">
        <w:trPr>
          <w:gridBefore w:val="1"/>
          <w:gridAfter w:val="1"/>
          <w:wBefore w:w="497" w:type="dxa"/>
          <w:wAfter w:w="342" w:type="dxa"/>
          <w:trHeight w:hRule="exact" w:val="278"/>
        </w:trPr>
        <w:tc>
          <w:tcPr>
            <w:tcW w:w="780" w:type="dxa"/>
            <w:gridSpan w:val="2"/>
          </w:tcPr>
          <w:p w14:paraId="062F9BC3" w14:textId="5D749C9D"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4</w:t>
            </w:r>
            <w:r w:rsidR="007F41DE">
              <w:rPr>
                <w:rFonts w:ascii="Arial" w:hAnsi="Arial" w:cs="Arial"/>
              </w:rPr>
              <w:t>1</w:t>
            </w:r>
            <w:r w:rsidRPr="003E13C2">
              <w:rPr>
                <w:rFonts w:ascii="Arial" w:hAnsi="Arial" w:cs="Arial"/>
              </w:rPr>
              <w:t>a.</w:t>
            </w:r>
          </w:p>
        </w:tc>
        <w:tc>
          <w:tcPr>
            <w:tcW w:w="7725" w:type="dxa"/>
          </w:tcPr>
          <w:p w14:paraId="6B772F06" w14:textId="77777777" w:rsidR="00C26168" w:rsidRPr="003E13C2" w:rsidRDefault="00C26168" w:rsidP="00C26168">
            <w:pPr>
              <w:widowControl/>
              <w:tabs>
                <w:tab w:val="left" w:pos="426"/>
              </w:tabs>
              <w:rPr>
                <w:rFonts w:ascii="Arial" w:hAnsi="Arial" w:cs="Arial"/>
              </w:rPr>
            </w:pPr>
            <w:r w:rsidRPr="003E13C2">
              <w:rPr>
                <w:rFonts w:ascii="Arial" w:hAnsi="Arial" w:cs="Arial"/>
              </w:rPr>
              <w:t>Organizačná štruktúra ekonomiky</w:t>
            </w:r>
          </w:p>
        </w:tc>
        <w:tc>
          <w:tcPr>
            <w:tcW w:w="162" w:type="dxa"/>
          </w:tcPr>
          <w:p w14:paraId="5653F94E" w14:textId="77777777" w:rsidR="00C26168" w:rsidRPr="003E13C2" w:rsidRDefault="00C26168" w:rsidP="00C26168">
            <w:pPr>
              <w:widowControl/>
              <w:tabs>
                <w:tab w:val="left" w:pos="426"/>
              </w:tabs>
              <w:jc w:val="right"/>
              <w:rPr>
                <w:rFonts w:ascii="Arial" w:hAnsi="Arial" w:cs="Arial"/>
              </w:rPr>
            </w:pPr>
          </w:p>
        </w:tc>
      </w:tr>
      <w:tr w:rsidR="00C26168" w:rsidRPr="003E13C2" w14:paraId="78420C57" w14:textId="77777777" w:rsidTr="00F528DB">
        <w:trPr>
          <w:gridBefore w:val="1"/>
          <w:gridAfter w:val="1"/>
          <w:wBefore w:w="497" w:type="dxa"/>
          <w:wAfter w:w="342" w:type="dxa"/>
          <w:trHeight w:hRule="exact" w:val="278"/>
        </w:trPr>
        <w:tc>
          <w:tcPr>
            <w:tcW w:w="780" w:type="dxa"/>
            <w:gridSpan w:val="2"/>
          </w:tcPr>
          <w:p w14:paraId="28BE0AAC"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1DAC2E3F" w14:textId="77777777" w:rsidR="00C26168" w:rsidRPr="003E13C2" w:rsidRDefault="00C26168" w:rsidP="00C26168">
            <w:pPr>
              <w:widowControl/>
              <w:tabs>
                <w:tab w:val="left" w:pos="426"/>
              </w:tabs>
              <w:rPr>
                <w:rFonts w:ascii="Arial" w:hAnsi="Arial" w:cs="Arial"/>
              </w:rPr>
            </w:pPr>
            <w:r w:rsidRPr="003E13C2">
              <w:rPr>
                <w:rFonts w:ascii="Arial" w:hAnsi="Arial" w:cs="Arial"/>
              </w:rPr>
              <w:t>Štruktúra živnostníkov podľa klasifikácie ekonomických činností</w:t>
            </w:r>
          </w:p>
        </w:tc>
        <w:tc>
          <w:tcPr>
            <w:tcW w:w="162" w:type="dxa"/>
          </w:tcPr>
          <w:p w14:paraId="7176DE7B" w14:textId="77777777" w:rsidR="00C26168" w:rsidRPr="003E13C2" w:rsidRDefault="00C26168" w:rsidP="00C26168">
            <w:pPr>
              <w:widowControl/>
              <w:tabs>
                <w:tab w:val="left" w:pos="426"/>
              </w:tabs>
              <w:jc w:val="right"/>
              <w:rPr>
                <w:rFonts w:ascii="Arial" w:hAnsi="Arial" w:cs="Arial"/>
              </w:rPr>
            </w:pPr>
          </w:p>
        </w:tc>
      </w:tr>
      <w:tr w:rsidR="00C26168" w:rsidRPr="003E13C2" w14:paraId="3881830D" w14:textId="77777777" w:rsidTr="00F528DB">
        <w:trPr>
          <w:gridBefore w:val="1"/>
          <w:gridAfter w:val="1"/>
          <w:wBefore w:w="497" w:type="dxa"/>
          <w:wAfter w:w="342" w:type="dxa"/>
          <w:trHeight w:hRule="exact" w:val="278"/>
        </w:trPr>
        <w:tc>
          <w:tcPr>
            <w:tcW w:w="780" w:type="dxa"/>
            <w:gridSpan w:val="2"/>
          </w:tcPr>
          <w:p w14:paraId="18E068F5"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c.</w:t>
            </w:r>
          </w:p>
        </w:tc>
        <w:tc>
          <w:tcPr>
            <w:tcW w:w="7725" w:type="dxa"/>
          </w:tcPr>
          <w:p w14:paraId="74274283" w14:textId="77777777" w:rsidR="00C26168" w:rsidRPr="003E13C2" w:rsidRDefault="00C26168" w:rsidP="00C26168">
            <w:pPr>
              <w:widowControl/>
              <w:tabs>
                <w:tab w:val="left" w:pos="426"/>
              </w:tabs>
              <w:rPr>
                <w:rFonts w:ascii="Arial" w:hAnsi="Arial" w:cs="Arial"/>
              </w:rPr>
            </w:pPr>
            <w:r w:rsidRPr="003E13C2">
              <w:rPr>
                <w:rFonts w:ascii="Arial" w:hAnsi="Arial" w:cs="Arial"/>
              </w:rPr>
              <w:t>Podnikateľské subjekty v krajoch SR</w:t>
            </w:r>
          </w:p>
        </w:tc>
        <w:tc>
          <w:tcPr>
            <w:tcW w:w="162" w:type="dxa"/>
          </w:tcPr>
          <w:p w14:paraId="212F8EAF" w14:textId="77777777" w:rsidR="00C26168" w:rsidRPr="003E13C2" w:rsidRDefault="00C26168" w:rsidP="00C26168">
            <w:pPr>
              <w:widowControl/>
              <w:tabs>
                <w:tab w:val="left" w:pos="426"/>
              </w:tabs>
              <w:jc w:val="right"/>
              <w:rPr>
                <w:rFonts w:ascii="Arial" w:hAnsi="Arial" w:cs="Arial"/>
              </w:rPr>
            </w:pPr>
          </w:p>
        </w:tc>
      </w:tr>
      <w:tr w:rsidR="00C26168" w:rsidRPr="003E13C2" w14:paraId="0212AA6F" w14:textId="77777777" w:rsidTr="00F528DB">
        <w:trPr>
          <w:gridBefore w:val="1"/>
          <w:gridAfter w:val="1"/>
          <w:wBefore w:w="497" w:type="dxa"/>
          <w:wAfter w:w="342" w:type="dxa"/>
          <w:trHeight w:hRule="exact" w:val="278"/>
        </w:trPr>
        <w:tc>
          <w:tcPr>
            <w:tcW w:w="780" w:type="dxa"/>
            <w:gridSpan w:val="2"/>
          </w:tcPr>
          <w:p w14:paraId="5CB464AA" w14:textId="39965C97" w:rsidR="00C26168" w:rsidRPr="003E13C2" w:rsidRDefault="00C26168" w:rsidP="00C26168">
            <w:pPr>
              <w:widowControl/>
              <w:tabs>
                <w:tab w:val="left" w:pos="426"/>
              </w:tabs>
              <w:jc w:val="center"/>
              <w:rPr>
                <w:rFonts w:ascii="Arial" w:hAnsi="Arial" w:cs="Arial"/>
              </w:rPr>
            </w:pPr>
            <w:r>
              <w:rPr>
                <w:rFonts w:ascii="Arial" w:hAnsi="Arial" w:cs="Arial"/>
              </w:rPr>
              <w:t>T4</w:t>
            </w:r>
            <w:r w:rsidR="007F41DE">
              <w:rPr>
                <w:rFonts w:ascii="Arial" w:hAnsi="Arial" w:cs="Arial"/>
              </w:rPr>
              <w:t>2</w:t>
            </w:r>
            <w:r w:rsidRPr="003E13C2">
              <w:rPr>
                <w:rFonts w:ascii="Arial" w:hAnsi="Arial" w:cs="Arial"/>
              </w:rPr>
              <w:t>.</w:t>
            </w:r>
          </w:p>
        </w:tc>
        <w:tc>
          <w:tcPr>
            <w:tcW w:w="7725" w:type="dxa"/>
          </w:tcPr>
          <w:p w14:paraId="0F86B038" w14:textId="77777777" w:rsidR="00C26168" w:rsidRPr="003E13C2" w:rsidRDefault="00C26168" w:rsidP="00C26168">
            <w:pPr>
              <w:widowControl/>
              <w:tabs>
                <w:tab w:val="left" w:pos="426"/>
              </w:tabs>
              <w:rPr>
                <w:rFonts w:ascii="Arial" w:hAnsi="Arial" w:cs="Arial"/>
              </w:rPr>
            </w:pPr>
            <w:r w:rsidRPr="003E13C2">
              <w:rPr>
                <w:rFonts w:ascii="Arial" w:hAnsi="Arial" w:cs="Arial"/>
              </w:rPr>
              <w:t>Tržby za vlastné výkony a tovar v službách v krajoch SR</w:t>
            </w:r>
          </w:p>
        </w:tc>
        <w:tc>
          <w:tcPr>
            <w:tcW w:w="162" w:type="dxa"/>
          </w:tcPr>
          <w:p w14:paraId="3D22FB62" w14:textId="77777777" w:rsidR="00C26168" w:rsidRPr="003E13C2" w:rsidRDefault="00C26168" w:rsidP="00C26168">
            <w:pPr>
              <w:widowControl/>
              <w:tabs>
                <w:tab w:val="left" w:pos="426"/>
              </w:tabs>
              <w:jc w:val="right"/>
              <w:rPr>
                <w:rFonts w:ascii="Arial" w:hAnsi="Arial" w:cs="Arial"/>
              </w:rPr>
            </w:pPr>
          </w:p>
        </w:tc>
      </w:tr>
      <w:tr w:rsidR="00C26168" w:rsidRPr="003E13C2" w14:paraId="6467803F" w14:textId="77777777" w:rsidTr="00F528DB">
        <w:trPr>
          <w:trHeight w:hRule="exact" w:val="278"/>
        </w:trPr>
        <w:tc>
          <w:tcPr>
            <w:tcW w:w="1206" w:type="dxa"/>
            <w:gridSpan w:val="2"/>
          </w:tcPr>
          <w:p w14:paraId="212110E9" w14:textId="17D36FD5" w:rsidR="00C26168" w:rsidRPr="003E13C2" w:rsidRDefault="00C26168" w:rsidP="00C26168">
            <w:pPr>
              <w:widowControl/>
              <w:tabs>
                <w:tab w:val="left" w:pos="426"/>
              </w:tabs>
              <w:jc w:val="right"/>
              <w:rPr>
                <w:rFonts w:ascii="Arial" w:hAnsi="Arial" w:cs="Arial"/>
              </w:rPr>
            </w:pPr>
            <w:r w:rsidRPr="003E13C2">
              <w:rPr>
                <w:rFonts w:ascii="Arial" w:hAnsi="Arial" w:cs="Arial"/>
              </w:rPr>
              <w:t>T4</w:t>
            </w:r>
            <w:r w:rsidR="007F41DE">
              <w:rPr>
                <w:rFonts w:ascii="Arial" w:hAnsi="Arial" w:cs="Arial"/>
              </w:rPr>
              <w:t>3</w:t>
            </w:r>
            <w:r w:rsidRPr="003E13C2">
              <w:rPr>
                <w:rFonts w:ascii="Arial" w:hAnsi="Arial" w:cs="Arial"/>
              </w:rPr>
              <w:t>.</w:t>
            </w:r>
          </w:p>
        </w:tc>
        <w:tc>
          <w:tcPr>
            <w:tcW w:w="7796" w:type="dxa"/>
            <w:gridSpan w:val="2"/>
          </w:tcPr>
          <w:p w14:paraId="0C92710C" w14:textId="77777777" w:rsidR="00C26168" w:rsidRPr="003E13C2" w:rsidRDefault="00C26168" w:rsidP="00C26168">
            <w:pPr>
              <w:widowControl/>
              <w:tabs>
                <w:tab w:val="left" w:pos="426"/>
              </w:tabs>
              <w:rPr>
                <w:rFonts w:ascii="Arial" w:hAnsi="Arial" w:cs="Arial"/>
              </w:rPr>
            </w:pPr>
            <w:r w:rsidRPr="003E13C2">
              <w:rPr>
                <w:rFonts w:ascii="Arial" w:hAnsi="Arial" w:cs="Arial"/>
              </w:rPr>
              <w:t>Vybrané ukazovatele podľa veľkosti podnikov</w:t>
            </w:r>
          </w:p>
        </w:tc>
        <w:tc>
          <w:tcPr>
            <w:tcW w:w="504" w:type="dxa"/>
            <w:gridSpan w:val="2"/>
          </w:tcPr>
          <w:p w14:paraId="69079EE4" w14:textId="77777777" w:rsidR="00C26168" w:rsidRPr="003E13C2" w:rsidRDefault="00C26168" w:rsidP="00C26168">
            <w:pPr>
              <w:widowControl/>
              <w:tabs>
                <w:tab w:val="left" w:pos="426"/>
              </w:tabs>
              <w:jc w:val="right"/>
              <w:rPr>
                <w:rFonts w:ascii="Arial" w:hAnsi="Arial" w:cs="Arial"/>
              </w:rPr>
            </w:pPr>
          </w:p>
        </w:tc>
      </w:tr>
      <w:tr w:rsidR="00C26168" w:rsidRPr="003E13C2" w14:paraId="5C825B72" w14:textId="77777777" w:rsidTr="00F528DB">
        <w:trPr>
          <w:trHeight w:hRule="exact" w:val="278"/>
        </w:trPr>
        <w:tc>
          <w:tcPr>
            <w:tcW w:w="1206" w:type="dxa"/>
            <w:gridSpan w:val="2"/>
          </w:tcPr>
          <w:p w14:paraId="71AFCE8B"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a.</w:t>
            </w:r>
          </w:p>
        </w:tc>
        <w:tc>
          <w:tcPr>
            <w:tcW w:w="7796" w:type="dxa"/>
            <w:gridSpan w:val="2"/>
          </w:tcPr>
          <w:p w14:paraId="0093ACA7" w14:textId="77777777" w:rsidR="00C26168" w:rsidRPr="003E13C2" w:rsidRDefault="00C26168" w:rsidP="00C26168">
            <w:pPr>
              <w:widowControl/>
              <w:tabs>
                <w:tab w:val="left" w:pos="426"/>
              </w:tabs>
              <w:rPr>
                <w:rFonts w:ascii="Arial" w:hAnsi="Arial" w:cs="Arial"/>
              </w:rPr>
            </w:pPr>
            <w:r w:rsidRPr="003E13C2">
              <w:rPr>
                <w:rFonts w:ascii="Arial" w:hAnsi="Arial" w:cs="Arial"/>
              </w:rPr>
              <w:t>Podniky podľa klasifikácie ekonomických činností</w:t>
            </w:r>
          </w:p>
        </w:tc>
        <w:tc>
          <w:tcPr>
            <w:tcW w:w="504" w:type="dxa"/>
            <w:gridSpan w:val="2"/>
          </w:tcPr>
          <w:p w14:paraId="3C53236A" w14:textId="77777777" w:rsidR="00C26168" w:rsidRPr="003E13C2" w:rsidRDefault="00C26168" w:rsidP="00C26168">
            <w:pPr>
              <w:widowControl/>
              <w:tabs>
                <w:tab w:val="left" w:pos="426"/>
              </w:tabs>
              <w:jc w:val="center"/>
              <w:rPr>
                <w:rFonts w:ascii="Arial" w:hAnsi="Arial" w:cs="Arial"/>
              </w:rPr>
            </w:pPr>
          </w:p>
        </w:tc>
      </w:tr>
      <w:tr w:rsidR="00C26168" w:rsidRPr="003E13C2" w14:paraId="0EF56747" w14:textId="77777777" w:rsidTr="00F528DB">
        <w:trPr>
          <w:trHeight w:hRule="exact" w:val="278"/>
        </w:trPr>
        <w:tc>
          <w:tcPr>
            <w:tcW w:w="1206" w:type="dxa"/>
            <w:gridSpan w:val="2"/>
          </w:tcPr>
          <w:p w14:paraId="0D0772B4" w14:textId="4D7D9C20" w:rsidR="00C26168" w:rsidRPr="003E13C2" w:rsidRDefault="00C26168" w:rsidP="00C26168">
            <w:pPr>
              <w:widowControl/>
              <w:tabs>
                <w:tab w:val="left" w:pos="426"/>
              </w:tabs>
              <w:jc w:val="right"/>
              <w:rPr>
                <w:rFonts w:ascii="Arial" w:hAnsi="Arial" w:cs="Arial"/>
              </w:rPr>
            </w:pPr>
            <w:r>
              <w:rPr>
                <w:rFonts w:ascii="Arial" w:hAnsi="Arial" w:cs="Arial"/>
              </w:rPr>
              <w:t>b</w:t>
            </w:r>
            <w:r w:rsidRPr="003E13C2">
              <w:rPr>
                <w:rFonts w:ascii="Arial" w:hAnsi="Arial" w:cs="Arial"/>
              </w:rPr>
              <w:t>.</w:t>
            </w:r>
          </w:p>
        </w:tc>
        <w:tc>
          <w:tcPr>
            <w:tcW w:w="7796" w:type="dxa"/>
            <w:gridSpan w:val="2"/>
          </w:tcPr>
          <w:p w14:paraId="71C82759"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w:t>
            </w:r>
          </w:p>
        </w:tc>
        <w:tc>
          <w:tcPr>
            <w:tcW w:w="504" w:type="dxa"/>
            <w:gridSpan w:val="2"/>
          </w:tcPr>
          <w:p w14:paraId="269A77DF" w14:textId="77777777" w:rsidR="00C26168" w:rsidRPr="003E13C2" w:rsidRDefault="00C26168" w:rsidP="00C26168">
            <w:pPr>
              <w:widowControl/>
              <w:tabs>
                <w:tab w:val="left" w:pos="426"/>
              </w:tabs>
              <w:jc w:val="center"/>
              <w:rPr>
                <w:rFonts w:ascii="Arial" w:hAnsi="Arial" w:cs="Arial"/>
              </w:rPr>
            </w:pPr>
          </w:p>
        </w:tc>
      </w:tr>
      <w:tr w:rsidR="00C26168" w:rsidRPr="003E13C2" w14:paraId="77615483" w14:textId="77777777" w:rsidTr="00F528DB">
        <w:trPr>
          <w:trHeight w:hRule="exact" w:val="261"/>
        </w:trPr>
        <w:tc>
          <w:tcPr>
            <w:tcW w:w="1206" w:type="dxa"/>
            <w:gridSpan w:val="2"/>
          </w:tcPr>
          <w:p w14:paraId="7787CA48" w14:textId="6B70537A" w:rsidR="00C26168" w:rsidRPr="003E13C2" w:rsidRDefault="00C26168" w:rsidP="00C26168">
            <w:pPr>
              <w:widowControl/>
              <w:tabs>
                <w:tab w:val="left" w:pos="426"/>
              </w:tabs>
              <w:jc w:val="right"/>
              <w:rPr>
                <w:rFonts w:ascii="Arial" w:hAnsi="Arial" w:cs="Arial"/>
              </w:rPr>
            </w:pPr>
            <w:r>
              <w:rPr>
                <w:rFonts w:ascii="Arial" w:hAnsi="Arial" w:cs="Arial"/>
              </w:rPr>
              <w:t>c</w:t>
            </w:r>
            <w:r w:rsidRPr="003E13C2">
              <w:rPr>
                <w:rFonts w:ascii="Arial" w:hAnsi="Arial" w:cs="Arial"/>
              </w:rPr>
              <w:t>.</w:t>
            </w:r>
          </w:p>
        </w:tc>
        <w:tc>
          <w:tcPr>
            <w:tcW w:w="7796" w:type="dxa"/>
            <w:gridSpan w:val="2"/>
          </w:tcPr>
          <w:p w14:paraId="2F6834E7" w14:textId="77777777" w:rsidR="00C26168" w:rsidRPr="003E13C2" w:rsidRDefault="00C26168" w:rsidP="00C26168">
            <w:pPr>
              <w:widowControl/>
              <w:tabs>
                <w:tab w:val="left" w:pos="426"/>
              </w:tabs>
              <w:rPr>
                <w:rFonts w:ascii="Arial" w:hAnsi="Arial" w:cs="Arial"/>
              </w:rPr>
            </w:pPr>
            <w:r w:rsidRPr="003E13C2">
              <w:rPr>
                <w:rFonts w:ascii="Arial" w:hAnsi="Arial" w:cs="Arial"/>
              </w:rPr>
              <w:t>Priemerná mesačná mzda zamestnanca</w:t>
            </w:r>
          </w:p>
        </w:tc>
        <w:tc>
          <w:tcPr>
            <w:tcW w:w="504" w:type="dxa"/>
            <w:gridSpan w:val="2"/>
          </w:tcPr>
          <w:p w14:paraId="4BC2486D" w14:textId="77777777" w:rsidR="00C26168" w:rsidRPr="003E13C2" w:rsidRDefault="00C26168" w:rsidP="00C26168">
            <w:pPr>
              <w:widowControl/>
              <w:tabs>
                <w:tab w:val="left" w:pos="426"/>
              </w:tabs>
              <w:jc w:val="right"/>
              <w:rPr>
                <w:rFonts w:ascii="Arial" w:hAnsi="Arial" w:cs="Arial"/>
              </w:rPr>
            </w:pPr>
          </w:p>
        </w:tc>
      </w:tr>
      <w:tr w:rsidR="00C26168" w:rsidRPr="003E13C2" w14:paraId="52C33B81" w14:textId="77777777" w:rsidTr="00F528DB">
        <w:trPr>
          <w:trHeight w:hRule="exact" w:val="278"/>
        </w:trPr>
        <w:tc>
          <w:tcPr>
            <w:tcW w:w="1206" w:type="dxa"/>
            <w:gridSpan w:val="2"/>
          </w:tcPr>
          <w:p w14:paraId="6BF41A67" w14:textId="7870B6B3" w:rsidR="00C26168" w:rsidRPr="003E13C2" w:rsidRDefault="00C26168" w:rsidP="00C26168">
            <w:pPr>
              <w:widowControl/>
              <w:tabs>
                <w:tab w:val="left" w:pos="426"/>
              </w:tabs>
              <w:jc w:val="right"/>
              <w:rPr>
                <w:rFonts w:ascii="Arial" w:hAnsi="Arial" w:cs="Arial"/>
              </w:rPr>
            </w:pPr>
            <w:r>
              <w:rPr>
                <w:rFonts w:ascii="Arial" w:hAnsi="Arial" w:cs="Arial"/>
              </w:rPr>
              <w:t>d</w:t>
            </w:r>
            <w:r w:rsidRPr="003E13C2">
              <w:rPr>
                <w:rFonts w:ascii="Arial" w:hAnsi="Arial" w:cs="Arial"/>
              </w:rPr>
              <w:t>.</w:t>
            </w:r>
          </w:p>
        </w:tc>
        <w:tc>
          <w:tcPr>
            <w:tcW w:w="7796" w:type="dxa"/>
            <w:gridSpan w:val="2"/>
          </w:tcPr>
          <w:p w14:paraId="0EA5C227" w14:textId="77777777" w:rsidR="00C26168" w:rsidRPr="003E13C2" w:rsidRDefault="00C26168" w:rsidP="00C26168">
            <w:pPr>
              <w:widowControl/>
              <w:tabs>
                <w:tab w:val="left" w:pos="426"/>
              </w:tabs>
              <w:rPr>
                <w:rFonts w:ascii="Arial" w:hAnsi="Arial" w:cs="Arial"/>
              </w:rPr>
            </w:pPr>
            <w:r w:rsidRPr="003E13C2">
              <w:rPr>
                <w:rFonts w:ascii="Arial" w:hAnsi="Arial" w:cs="Arial"/>
              </w:rPr>
              <w:t>Priemysel</w:t>
            </w:r>
          </w:p>
        </w:tc>
        <w:tc>
          <w:tcPr>
            <w:tcW w:w="504" w:type="dxa"/>
            <w:gridSpan w:val="2"/>
          </w:tcPr>
          <w:p w14:paraId="081618D4" w14:textId="77777777" w:rsidR="00C26168" w:rsidRPr="003E13C2" w:rsidRDefault="00C26168" w:rsidP="00C26168">
            <w:pPr>
              <w:widowControl/>
              <w:tabs>
                <w:tab w:val="left" w:pos="426"/>
              </w:tabs>
              <w:jc w:val="right"/>
              <w:rPr>
                <w:rFonts w:ascii="Arial" w:hAnsi="Arial" w:cs="Arial"/>
              </w:rPr>
            </w:pPr>
          </w:p>
        </w:tc>
      </w:tr>
      <w:tr w:rsidR="00C26168" w:rsidRPr="003E13C2" w14:paraId="274D42CF" w14:textId="77777777" w:rsidTr="00F528DB">
        <w:trPr>
          <w:trHeight w:hRule="exact" w:val="278"/>
        </w:trPr>
        <w:tc>
          <w:tcPr>
            <w:tcW w:w="1206" w:type="dxa"/>
            <w:gridSpan w:val="2"/>
          </w:tcPr>
          <w:p w14:paraId="26CEB070" w14:textId="19CB92EC" w:rsidR="00C26168" w:rsidRPr="003E13C2" w:rsidRDefault="00C26168" w:rsidP="00C26168">
            <w:pPr>
              <w:widowControl/>
              <w:tabs>
                <w:tab w:val="left" w:pos="426"/>
              </w:tabs>
              <w:jc w:val="right"/>
              <w:rPr>
                <w:rFonts w:ascii="Arial" w:hAnsi="Arial" w:cs="Arial"/>
              </w:rPr>
            </w:pPr>
            <w:r>
              <w:rPr>
                <w:rFonts w:ascii="Arial" w:hAnsi="Arial" w:cs="Arial"/>
              </w:rPr>
              <w:t>e</w:t>
            </w:r>
            <w:r w:rsidRPr="003E13C2">
              <w:rPr>
                <w:rFonts w:ascii="Arial" w:hAnsi="Arial" w:cs="Arial"/>
              </w:rPr>
              <w:t>.</w:t>
            </w:r>
          </w:p>
        </w:tc>
        <w:tc>
          <w:tcPr>
            <w:tcW w:w="7796" w:type="dxa"/>
            <w:gridSpan w:val="2"/>
          </w:tcPr>
          <w:p w14:paraId="625373BB" w14:textId="77777777" w:rsidR="00C26168" w:rsidRPr="003E13C2" w:rsidRDefault="00C26168" w:rsidP="00C26168">
            <w:pPr>
              <w:widowControl/>
              <w:tabs>
                <w:tab w:val="left" w:pos="426"/>
              </w:tabs>
              <w:rPr>
                <w:rFonts w:ascii="Arial" w:hAnsi="Arial" w:cs="Arial"/>
              </w:rPr>
            </w:pPr>
            <w:r w:rsidRPr="003E13C2">
              <w:rPr>
                <w:rFonts w:ascii="Arial" w:hAnsi="Arial" w:cs="Arial"/>
              </w:rPr>
              <w:t>Stavebníctvo</w:t>
            </w:r>
          </w:p>
        </w:tc>
        <w:tc>
          <w:tcPr>
            <w:tcW w:w="504" w:type="dxa"/>
            <w:gridSpan w:val="2"/>
          </w:tcPr>
          <w:p w14:paraId="368BABDE" w14:textId="77777777" w:rsidR="00C26168" w:rsidRPr="003E13C2" w:rsidRDefault="00C26168" w:rsidP="00C26168">
            <w:pPr>
              <w:widowControl/>
              <w:tabs>
                <w:tab w:val="left" w:pos="426"/>
              </w:tabs>
              <w:jc w:val="right"/>
              <w:rPr>
                <w:rFonts w:ascii="Arial" w:hAnsi="Arial" w:cs="Arial"/>
              </w:rPr>
            </w:pPr>
          </w:p>
        </w:tc>
      </w:tr>
      <w:tr w:rsidR="00C26168" w:rsidRPr="009D750F" w14:paraId="46DC87F2" w14:textId="77777777" w:rsidTr="00F528DB">
        <w:trPr>
          <w:trHeight w:hRule="exact" w:val="278"/>
        </w:trPr>
        <w:tc>
          <w:tcPr>
            <w:tcW w:w="1206" w:type="dxa"/>
            <w:gridSpan w:val="2"/>
          </w:tcPr>
          <w:p w14:paraId="5A08CCE6" w14:textId="77777777" w:rsidR="00C26168" w:rsidRPr="009D750F" w:rsidRDefault="00C26168" w:rsidP="00C26168">
            <w:pPr>
              <w:widowControl/>
              <w:tabs>
                <w:tab w:val="left" w:pos="426"/>
              </w:tabs>
              <w:jc w:val="right"/>
              <w:rPr>
                <w:rFonts w:ascii="Arial" w:hAnsi="Arial" w:cs="Arial"/>
              </w:rPr>
            </w:pPr>
          </w:p>
        </w:tc>
        <w:tc>
          <w:tcPr>
            <w:tcW w:w="7796" w:type="dxa"/>
            <w:gridSpan w:val="2"/>
          </w:tcPr>
          <w:p w14:paraId="1EA97B42" w14:textId="77777777" w:rsidR="00C26168" w:rsidRPr="009D750F" w:rsidRDefault="00C26168" w:rsidP="00C26168">
            <w:pPr>
              <w:widowControl/>
              <w:tabs>
                <w:tab w:val="left" w:pos="426"/>
              </w:tabs>
              <w:rPr>
                <w:rFonts w:ascii="Arial" w:hAnsi="Arial" w:cs="Arial"/>
              </w:rPr>
            </w:pPr>
          </w:p>
        </w:tc>
        <w:tc>
          <w:tcPr>
            <w:tcW w:w="504" w:type="dxa"/>
            <w:gridSpan w:val="2"/>
          </w:tcPr>
          <w:p w14:paraId="66EA5570" w14:textId="77777777" w:rsidR="00C26168" w:rsidRPr="009D750F" w:rsidRDefault="00C26168" w:rsidP="00C26168">
            <w:pPr>
              <w:widowControl/>
              <w:tabs>
                <w:tab w:val="left" w:pos="426"/>
              </w:tabs>
              <w:jc w:val="right"/>
              <w:rPr>
                <w:rFonts w:ascii="Arial" w:hAnsi="Arial" w:cs="Arial"/>
              </w:rPr>
            </w:pPr>
          </w:p>
        </w:tc>
      </w:tr>
      <w:tr w:rsidR="00C26168" w:rsidRPr="009D750F" w14:paraId="7E18C132" w14:textId="77777777" w:rsidTr="00F528DB">
        <w:trPr>
          <w:cantSplit/>
          <w:trHeight w:hRule="exact" w:val="280"/>
        </w:trPr>
        <w:tc>
          <w:tcPr>
            <w:tcW w:w="9002" w:type="dxa"/>
            <w:gridSpan w:val="4"/>
          </w:tcPr>
          <w:p w14:paraId="15583C16" w14:textId="77777777" w:rsidR="00C26168" w:rsidRPr="009D750F" w:rsidRDefault="00C26168" w:rsidP="00C26168">
            <w:pPr>
              <w:widowControl/>
              <w:tabs>
                <w:tab w:val="left" w:pos="426"/>
              </w:tabs>
              <w:rPr>
                <w:rFonts w:ascii="Arial" w:hAnsi="Arial" w:cs="Arial"/>
                <w:b/>
              </w:rPr>
            </w:pPr>
          </w:p>
        </w:tc>
        <w:tc>
          <w:tcPr>
            <w:tcW w:w="504" w:type="dxa"/>
            <w:gridSpan w:val="2"/>
          </w:tcPr>
          <w:p w14:paraId="7505E46B" w14:textId="77777777" w:rsidR="00C26168" w:rsidRPr="009D750F" w:rsidRDefault="00C26168" w:rsidP="00C26168">
            <w:pPr>
              <w:widowControl/>
              <w:tabs>
                <w:tab w:val="left" w:pos="426"/>
              </w:tabs>
              <w:jc w:val="right"/>
              <w:rPr>
                <w:rFonts w:ascii="Arial" w:hAnsi="Arial" w:cs="Arial"/>
              </w:rPr>
            </w:pPr>
          </w:p>
        </w:tc>
      </w:tr>
      <w:tr w:rsidR="00C26168" w:rsidRPr="009D750F" w14:paraId="776E234D" w14:textId="77777777" w:rsidTr="00F528DB">
        <w:trPr>
          <w:cantSplit/>
          <w:trHeight w:hRule="exact" w:val="280"/>
        </w:trPr>
        <w:tc>
          <w:tcPr>
            <w:tcW w:w="9002" w:type="dxa"/>
            <w:gridSpan w:val="4"/>
          </w:tcPr>
          <w:p w14:paraId="16B8A3C3" w14:textId="7350354A" w:rsidR="00C26168" w:rsidRPr="009D750F" w:rsidRDefault="00C26168" w:rsidP="00C26168">
            <w:pPr>
              <w:widowControl/>
              <w:tabs>
                <w:tab w:val="left" w:pos="426"/>
              </w:tabs>
              <w:rPr>
                <w:rFonts w:ascii="Arial" w:hAnsi="Arial" w:cs="Arial"/>
                <w:b/>
              </w:rPr>
            </w:pPr>
            <w:r>
              <w:rPr>
                <w:rFonts w:ascii="Arial" w:hAnsi="Arial" w:cs="Arial"/>
              </w:rPr>
              <w:t xml:space="preserve"> </w:t>
            </w:r>
          </w:p>
        </w:tc>
        <w:tc>
          <w:tcPr>
            <w:tcW w:w="504" w:type="dxa"/>
            <w:gridSpan w:val="2"/>
          </w:tcPr>
          <w:p w14:paraId="446F2869" w14:textId="77777777" w:rsidR="00C26168" w:rsidRPr="009D750F" w:rsidRDefault="00C26168" w:rsidP="00C26168">
            <w:pPr>
              <w:widowControl/>
              <w:tabs>
                <w:tab w:val="left" w:pos="426"/>
              </w:tabs>
              <w:jc w:val="right"/>
              <w:rPr>
                <w:rFonts w:ascii="Arial" w:hAnsi="Arial" w:cs="Arial"/>
              </w:rPr>
            </w:pPr>
          </w:p>
        </w:tc>
      </w:tr>
    </w:tbl>
    <w:p w14:paraId="5B3ED830" w14:textId="045BC8EB" w:rsidR="00526FAB" w:rsidRPr="009D750F" w:rsidRDefault="00526FAB" w:rsidP="00526FAB">
      <w:pPr>
        <w:widowControl/>
        <w:tabs>
          <w:tab w:val="left" w:pos="426"/>
        </w:tabs>
        <w:rPr>
          <w:rFonts w:ascii="Arial" w:hAnsi="Arial" w:cs="Arial"/>
          <w:sz w:val="24"/>
        </w:rPr>
      </w:pPr>
    </w:p>
    <w:p w14:paraId="14F89F87" w14:textId="77777777" w:rsidR="00526FAB" w:rsidRPr="009D750F" w:rsidRDefault="00526FAB" w:rsidP="00526FAB">
      <w:pPr>
        <w:widowControl/>
        <w:tabs>
          <w:tab w:val="left" w:pos="426"/>
        </w:tabs>
        <w:rPr>
          <w:rFonts w:ascii="Arial" w:hAnsi="Arial" w:cs="Arial"/>
          <w:sz w:val="24"/>
        </w:rPr>
      </w:pPr>
    </w:p>
    <w:p w14:paraId="210CBBB6" w14:textId="77777777" w:rsidR="00526FAB" w:rsidRPr="009D750F" w:rsidRDefault="00526FAB" w:rsidP="00526FAB">
      <w:pPr>
        <w:widowControl/>
        <w:tabs>
          <w:tab w:val="left" w:pos="426"/>
        </w:tabs>
        <w:rPr>
          <w:rFonts w:ascii="Arial" w:hAnsi="Arial" w:cs="Arial"/>
          <w:sz w:val="24"/>
        </w:rPr>
      </w:pPr>
    </w:p>
    <w:p w14:paraId="0089FB67" w14:textId="77777777" w:rsidR="00526FAB" w:rsidRPr="009D750F" w:rsidRDefault="00526FAB" w:rsidP="00526FAB">
      <w:pPr>
        <w:widowControl/>
        <w:tabs>
          <w:tab w:val="left" w:pos="426"/>
        </w:tabs>
        <w:rPr>
          <w:rFonts w:ascii="Arial" w:hAnsi="Arial" w:cs="Arial"/>
          <w:sz w:val="24"/>
        </w:rPr>
      </w:pPr>
    </w:p>
    <w:p w14:paraId="487E606E" w14:textId="77777777" w:rsidR="00526FAB" w:rsidRPr="009D750F" w:rsidRDefault="00526FAB" w:rsidP="00526FAB">
      <w:pPr>
        <w:widowControl/>
        <w:tabs>
          <w:tab w:val="left" w:pos="426"/>
        </w:tabs>
        <w:rPr>
          <w:rFonts w:cs="Arial"/>
          <w:sz w:val="24"/>
        </w:rPr>
      </w:pPr>
    </w:p>
    <w:p w14:paraId="0E1197F6" w14:textId="77777777" w:rsidR="00526FAB" w:rsidRPr="009D750F" w:rsidRDefault="00526FAB" w:rsidP="00526FAB">
      <w:pPr>
        <w:widowControl/>
        <w:tabs>
          <w:tab w:val="left" w:pos="426"/>
        </w:tabs>
        <w:rPr>
          <w:rFonts w:cs="Arial"/>
          <w:sz w:val="24"/>
        </w:rPr>
      </w:pPr>
    </w:p>
    <w:p w14:paraId="53FF79DB" w14:textId="77777777" w:rsidR="00526FAB" w:rsidRPr="009D750F" w:rsidRDefault="00526FAB" w:rsidP="00526FAB">
      <w:pPr>
        <w:tabs>
          <w:tab w:val="left" w:pos="426"/>
        </w:tabs>
        <w:rPr>
          <w:sz w:val="18"/>
        </w:rPr>
      </w:pPr>
    </w:p>
    <w:p w14:paraId="0AF296F6" w14:textId="77777777" w:rsidR="00526FAB" w:rsidRPr="009D750F" w:rsidRDefault="00526FAB" w:rsidP="00526FAB">
      <w:pPr>
        <w:tabs>
          <w:tab w:val="left" w:pos="426"/>
        </w:tabs>
        <w:rPr>
          <w:sz w:val="18"/>
        </w:rPr>
      </w:pPr>
    </w:p>
    <w:p w14:paraId="17960B06" w14:textId="77777777" w:rsidR="00526FAB" w:rsidRPr="009D750F" w:rsidRDefault="00526FAB" w:rsidP="00526FAB">
      <w:pPr>
        <w:tabs>
          <w:tab w:val="left" w:pos="426"/>
        </w:tabs>
        <w:rPr>
          <w:sz w:val="18"/>
        </w:rPr>
      </w:pPr>
    </w:p>
    <w:p w14:paraId="7231ACBC" w14:textId="77777777" w:rsidR="00526FAB" w:rsidRPr="009D750F" w:rsidRDefault="00526FAB" w:rsidP="00526FAB">
      <w:pPr>
        <w:tabs>
          <w:tab w:val="left" w:pos="426"/>
        </w:tabs>
        <w:rPr>
          <w:sz w:val="18"/>
        </w:rPr>
      </w:pPr>
    </w:p>
    <w:p w14:paraId="76BC940A" w14:textId="77777777" w:rsidR="00526FAB" w:rsidRPr="009D750F" w:rsidRDefault="00526FAB" w:rsidP="00526FAB">
      <w:pPr>
        <w:tabs>
          <w:tab w:val="left" w:pos="426"/>
        </w:tabs>
        <w:rPr>
          <w:sz w:val="18"/>
        </w:rPr>
      </w:pPr>
    </w:p>
    <w:p w14:paraId="3B884BA1" w14:textId="77777777" w:rsidR="00526FAB" w:rsidRPr="009D750F" w:rsidRDefault="00526FAB" w:rsidP="00526FAB">
      <w:pPr>
        <w:tabs>
          <w:tab w:val="left" w:pos="426"/>
        </w:tabs>
        <w:rPr>
          <w:sz w:val="18"/>
        </w:rPr>
      </w:pPr>
    </w:p>
    <w:p w14:paraId="76CA2D09" w14:textId="77777777" w:rsidR="00526FAB" w:rsidRPr="009D750F" w:rsidRDefault="00526FAB" w:rsidP="00526FAB">
      <w:pPr>
        <w:tabs>
          <w:tab w:val="left" w:pos="426"/>
        </w:tabs>
        <w:rPr>
          <w:sz w:val="18"/>
        </w:rPr>
      </w:pPr>
    </w:p>
    <w:p w14:paraId="452EB266" w14:textId="77777777" w:rsidR="00526FAB" w:rsidRPr="009D750F" w:rsidRDefault="00526FAB" w:rsidP="00526FAB">
      <w:pPr>
        <w:tabs>
          <w:tab w:val="left" w:pos="426"/>
        </w:tabs>
        <w:rPr>
          <w:sz w:val="18"/>
        </w:rPr>
      </w:pPr>
    </w:p>
    <w:p w14:paraId="2B7EBDE9" w14:textId="77777777" w:rsidR="00526FAB" w:rsidRPr="009D750F" w:rsidRDefault="00526FAB" w:rsidP="00526FAB">
      <w:pPr>
        <w:tabs>
          <w:tab w:val="left" w:pos="426"/>
        </w:tabs>
        <w:rPr>
          <w:sz w:val="18"/>
        </w:rPr>
      </w:pPr>
    </w:p>
    <w:p w14:paraId="384858BB" w14:textId="77777777" w:rsidR="00526FAB" w:rsidRPr="009D750F" w:rsidRDefault="00526FAB" w:rsidP="00526FAB">
      <w:pPr>
        <w:tabs>
          <w:tab w:val="left" w:pos="426"/>
        </w:tabs>
        <w:rPr>
          <w:sz w:val="18"/>
        </w:rPr>
      </w:pPr>
    </w:p>
    <w:p w14:paraId="4A80C38B" w14:textId="77777777" w:rsidR="00526FAB" w:rsidRPr="009D750F" w:rsidRDefault="00526FAB" w:rsidP="00526FAB">
      <w:pPr>
        <w:tabs>
          <w:tab w:val="left" w:pos="426"/>
        </w:tabs>
        <w:rPr>
          <w:sz w:val="18"/>
        </w:rPr>
      </w:pPr>
    </w:p>
    <w:p w14:paraId="48DA7B85" w14:textId="77777777" w:rsidR="00526FAB" w:rsidRPr="009D750F" w:rsidRDefault="00526FAB" w:rsidP="00526FAB">
      <w:pPr>
        <w:tabs>
          <w:tab w:val="left" w:pos="426"/>
        </w:tabs>
        <w:rPr>
          <w:sz w:val="18"/>
        </w:rPr>
      </w:pPr>
    </w:p>
    <w:p w14:paraId="00C176DC" w14:textId="77777777" w:rsidR="00526FAB" w:rsidRPr="009D750F" w:rsidRDefault="00526FAB" w:rsidP="00526FAB">
      <w:pPr>
        <w:tabs>
          <w:tab w:val="left" w:pos="426"/>
        </w:tabs>
        <w:rPr>
          <w:sz w:val="18"/>
        </w:rPr>
      </w:pPr>
    </w:p>
    <w:p w14:paraId="18F98BB9" w14:textId="77777777" w:rsidR="00526FAB" w:rsidRPr="009D750F" w:rsidRDefault="00526FAB" w:rsidP="00526FAB">
      <w:pPr>
        <w:tabs>
          <w:tab w:val="left" w:pos="426"/>
        </w:tabs>
        <w:rPr>
          <w:sz w:val="18"/>
        </w:rPr>
      </w:pPr>
    </w:p>
    <w:p w14:paraId="3871FBB8" w14:textId="77777777" w:rsidR="00526FAB" w:rsidRPr="009D750F" w:rsidRDefault="00526FAB" w:rsidP="00526FAB">
      <w:pPr>
        <w:tabs>
          <w:tab w:val="left" w:pos="426"/>
        </w:tabs>
        <w:rPr>
          <w:sz w:val="18"/>
        </w:rPr>
      </w:pPr>
    </w:p>
    <w:p w14:paraId="07D29A13" w14:textId="77777777" w:rsidR="00526FAB" w:rsidRPr="009D750F" w:rsidRDefault="00526FAB" w:rsidP="00526FAB">
      <w:pPr>
        <w:tabs>
          <w:tab w:val="left" w:pos="426"/>
        </w:tabs>
        <w:rPr>
          <w:sz w:val="18"/>
        </w:rPr>
      </w:pPr>
    </w:p>
    <w:p w14:paraId="356D8CFD" w14:textId="77777777" w:rsidR="00526FAB" w:rsidRPr="009D750F" w:rsidRDefault="00526FAB" w:rsidP="00526FAB">
      <w:pPr>
        <w:tabs>
          <w:tab w:val="left" w:pos="426"/>
        </w:tabs>
        <w:rPr>
          <w:sz w:val="18"/>
        </w:rPr>
      </w:pPr>
    </w:p>
    <w:p w14:paraId="46C6A7B1" w14:textId="77777777" w:rsidR="00526FAB" w:rsidRPr="009D750F" w:rsidRDefault="00526FAB" w:rsidP="00526FAB">
      <w:pPr>
        <w:tabs>
          <w:tab w:val="left" w:pos="426"/>
        </w:tabs>
        <w:rPr>
          <w:sz w:val="18"/>
        </w:rPr>
      </w:pPr>
    </w:p>
    <w:p w14:paraId="4E1C0CB6" w14:textId="77777777" w:rsidR="00526FAB" w:rsidRPr="009D750F" w:rsidRDefault="00526FAB" w:rsidP="00526FAB">
      <w:pPr>
        <w:tabs>
          <w:tab w:val="left" w:pos="426"/>
        </w:tabs>
        <w:rPr>
          <w:sz w:val="18"/>
        </w:rPr>
      </w:pPr>
    </w:p>
    <w:p w14:paraId="25209309" w14:textId="77777777" w:rsidR="00526FAB" w:rsidRPr="009D750F" w:rsidRDefault="00526FAB" w:rsidP="00526FAB">
      <w:pPr>
        <w:tabs>
          <w:tab w:val="left" w:pos="426"/>
        </w:tabs>
        <w:rPr>
          <w:sz w:val="18"/>
        </w:rPr>
      </w:pPr>
    </w:p>
    <w:p w14:paraId="6DB58FD7" w14:textId="77777777" w:rsidR="00526FAB" w:rsidRPr="009D750F" w:rsidRDefault="00526FAB" w:rsidP="00526FAB">
      <w:pPr>
        <w:tabs>
          <w:tab w:val="left" w:pos="426"/>
        </w:tabs>
        <w:rPr>
          <w:sz w:val="18"/>
        </w:rPr>
      </w:pPr>
    </w:p>
    <w:p w14:paraId="695C278F" w14:textId="77777777" w:rsidR="00526FAB" w:rsidRPr="009D750F" w:rsidRDefault="00526FAB" w:rsidP="00526FAB">
      <w:pPr>
        <w:tabs>
          <w:tab w:val="left" w:pos="426"/>
        </w:tabs>
        <w:rPr>
          <w:sz w:val="18"/>
        </w:rPr>
      </w:pPr>
    </w:p>
    <w:p w14:paraId="0F668DEA" w14:textId="77777777" w:rsidR="00526FAB" w:rsidRPr="009D750F" w:rsidRDefault="00526FAB" w:rsidP="00526FAB">
      <w:pPr>
        <w:tabs>
          <w:tab w:val="left" w:pos="426"/>
        </w:tabs>
        <w:rPr>
          <w:sz w:val="18"/>
        </w:rPr>
      </w:pPr>
    </w:p>
    <w:p w14:paraId="6C5F123C" w14:textId="77777777" w:rsidR="00526FAB" w:rsidRPr="009D750F" w:rsidRDefault="00526FAB" w:rsidP="00526FAB">
      <w:pPr>
        <w:tabs>
          <w:tab w:val="left" w:pos="426"/>
        </w:tabs>
        <w:rPr>
          <w:sz w:val="18"/>
        </w:rPr>
      </w:pPr>
    </w:p>
    <w:p w14:paraId="164B8BE6" w14:textId="77777777" w:rsidR="00526FAB" w:rsidRPr="009D750F" w:rsidRDefault="00526FAB" w:rsidP="00526FAB">
      <w:pPr>
        <w:tabs>
          <w:tab w:val="left" w:pos="426"/>
        </w:tabs>
        <w:ind w:left="284"/>
        <w:rPr>
          <w:sz w:val="18"/>
        </w:rPr>
      </w:pPr>
    </w:p>
    <w:p w14:paraId="6B42B305" w14:textId="22AC06F3" w:rsidR="00526FAB" w:rsidRDefault="00526FAB" w:rsidP="00526FAB">
      <w:pPr>
        <w:tabs>
          <w:tab w:val="left" w:pos="426"/>
        </w:tabs>
        <w:rPr>
          <w:sz w:val="18"/>
        </w:rPr>
      </w:pPr>
    </w:p>
    <w:p w14:paraId="3C935545" w14:textId="49143D19" w:rsidR="00273C1C" w:rsidRDefault="00273C1C" w:rsidP="00526FAB">
      <w:pPr>
        <w:tabs>
          <w:tab w:val="left" w:pos="426"/>
        </w:tabs>
        <w:rPr>
          <w:sz w:val="18"/>
        </w:rPr>
      </w:pPr>
    </w:p>
    <w:p w14:paraId="2878BD94" w14:textId="16B8815E" w:rsidR="00273C1C" w:rsidRDefault="00273C1C" w:rsidP="00526FAB">
      <w:pPr>
        <w:tabs>
          <w:tab w:val="left" w:pos="426"/>
        </w:tabs>
        <w:rPr>
          <w:sz w:val="18"/>
        </w:rPr>
      </w:pPr>
    </w:p>
    <w:p w14:paraId="3F47B982" w14:textId="184C2F25" w:rsidR="00273C1C" w:rsidRDefault="00273C1C" w:rsidP="00526FAB">
      <w:pPr>
        <w:tabs>
          <w:tab w:val="left" w:pos="426"/>
        </w:tabs>
        <w:rPr>
          <w:sz w:val="18"/>
        </w:rPr>
      </w:pPr>
    </w:p>
    <w:p w14:paraId="3DB9542A" w14:textId="507B5DC9" w:rsidR="00273C1C" w:rsidRDefault="00273C1C" w:rsidP="00526FAB">
      <w:pPr>
        <w:tabs>
          <w:tab w:val="left" w:pos="426"/>
        </w:tabs>
        <w:rPr>
          <w:sz w:val="18"/>
        </w:rPr>
      </w:pPr>
    </w:p>
    <w:p w14:paraId="27C9B87F" w14:textId="51531E9A" w:rsidR="00273C1C" w:rsidRDefault="00273C1C" w:rsidP="00526FAB">
      <w:pPr>
        <w:tabs>
          <w:tab w:val="left" w:pos="426"/>
        </w:tabs>
        <w:rPr>
          <w:sz w:val="18"/>
        </w:rPr>
      </w:pPr>
    </w:p>
    <w:p w14:paraId="7CC9E324" w14:textId="72E87CA7" w:rsidR="00273C1C" w:rsidRDefault="00273C1C" w:rsidP="00526FAB">
      <w:pPr>
        <w:tabs>
          <w:tab w:val="left" w:pos="426"/>
        </w:tabs>
        <w:rPr>
          <w:sz w:val="18"/>
        </w:rPr>
      </w:pPr>
    </w:p>
    <w:p w14:paraId="5C02F5CC" w14:textId="2AC2E131" w:rsidR="00273C1C" w:rsidRDefault="00273C1C" w:rsidP="00526FAB">
      <w:pPr>
        <w:tabs>
          <w:tab w:val="left" w:pos="426"/>
        </w:tabs>
        <w:rPr>
          <w:sz w:val="18"/>
        </w:rPr>
      </w:pPr>
    </w:p>
    <w:p w14:paraId="1145D1B8" w14:textId="53BE02F3" w:rsidR="00273C1C" w:rsidRDefault="00273C1C" w:rsidP="00526FAB">
      <w:pPr>
        <w:tabs>
          <w:tab w:val="left" w:pos="426"/>
        </w:tabs>
        <w:rPr>
          <w:sz w:val="18"/>
        </w:rPr>
      </w:pPr>
    </w:p>
    <w:p w14:paraId="3B8406A9" w14:textId="65A1EBD3" w:rsidR="00273C1C" w:rsidRDefault="00273C1C" w:rsidP="00526FAB">
      <w:pPr>
        <w:tabs>
          <w:tab w:val="left" w:pos="426"/>
        </w:tabs>
        <w:rPr>
          <w:sz w:val="18"/>
        </w:rPr>
      </w:pPr>
    </w:p>
    <w:p w14:paraId="0FE0FB4F" w14:textId="3861767D" w:rsidR="00273C1C" w:rsidRDefault="00273C1C" w:rsidP="00526FAB">
      <w:pPr>
        <w:tabs>
          <w:tab w:val="left" w:pos="426"/>
        </w:tabs>
        <w:rPr>
          <w:sz w:val="18"/>
        </w:rPr>
      </w:pPr>
    </w:p>
    <w:p w14:paraId="0E0B7C8B" w14:textId="3BF2A7B1" w:rsidR="00273C1C" w:rsidRDefault="00273C1C" w:rsidP="00526FAB">
      <w:pPr>
        <w:tabs>
          <w:tab w:val="left" w:pos="426"/>
        </w:tabs>
        <w:rPr>
          <w:sz w:val="18"/>
        </w:rPr>
      </w:pPr>
    </w:p>
    <w:p w14:paraId="6717F51C" w14:textId="369DEAEA" w:rsidR="00273C1C" w:rsidRDefault="00273C1C" w:rsidP="00526FAB">
      <w:pPr>
        <w:tabs>
          <w:tab w:val="left" w:pos="426"/>
        </w:tabs>
        <w:rPr>
          <w:sz w:val="18"/>
        </w:rPr>
      </w:pPr>
    </w:p>
    <w:p w14:paraId="6349F59D" w14:textId="3FC16313" w:rsidR="00273C1C" w:rsidRDefault="00273C1C" w:rsidP="00526FAB">
      <w:pPr>
        <w:tabs>
          <w:tab w:val="left" w:pos="426"/>
        </w:tabs>
        <w:rPr>
          <w:sz w:val="18"/>
        </w:rPr>
      </w:pPr>
    </w:p>
    <w:p w14:paraId="6ABC686D" w14:textId="77777777" w:rsidR="00D51740" w:rsidRDefault="00D51740" w:rsidP="00526FAB">
      <w:pPr>
        <w:tabs>
          <w:tab w:val="left" w:pos="426"/>
        </w:tabs>
        <w:rPr>
          <w:sz w:val="18"/>
        </w:rPr>
      </w:pPr>
    </w:p>
    <w:p w14:paraId="4A83BD0C" w14:textId="77777777" w:rsidR="00D51740" w:rsidRDefault="00D51740" w:rsidP="00526FAB">
      <w:pPr>
        <w:tabs>
          <w:tab w:val="left" w:pos="426"/>
        </w:tabs>
        <w:rPr>
          <w:sz w:val="18"/>
        </w:rPr>
      </w:pPr>
    </w:p>
    <w:p w14:paraId="61D276E8" w14:textId="77777777" w:rsidR="00D51740" w:rsidRDefault="00D51740" w:rsidP="00526FAB">
      <w:pPr>
        <w:tabs>
          <w:tab w:val="left" w:pos="426"/>
        </w:tabs>
        <w:rPr>
          <w:sz w:val="18"/>
        </w:rPr>
      </w:pPr>
    </w:p>
    <w:p w14:paraId="48566A1A" w14:textId="77777777" w:rsidR="00D51740" w:rsidRDefault="00D51740" w:rsidP="00526FAB">
      <w:pPr>
        <w:tabs>
          <w:tab w:val="left" w:pos="426"/>
        </w:tabs>
        <w:rPr>
          <w:sz w:val="18"/>
        </w:rPr>
      </w:pPr>
    </w:p>
    <w:p w14:paraId="1CB90724" w14:textId="77777777" w:rsidR="00D51740" w:rsidRDefault="00D51740" w:rsidP="00526FAB">
      <w:pPr>
        <w:tabs>
          <w:tab w:val="left" w:pos="426"/>
        </w:tabs>
        <w:rPr>
          <w:sz w:val="18"/>
        </w:rPr>
      </w:pPr>
    </w:p>
    <w:p w14:paraId="00C1CFBF" w14:textId="77777777" w:rsidR="00D51740" w:rsidRDefault="00D51740" w:rsidP="00526FAB">
      <w:pPr>
        <w:tabs>
          <w:tab w:val="left" w:pos="426"/>
        </w:tabs>
        <w:rPr>
          <w:sz w:val="18"/>
        </w:rPr>
      </w:pPr>
    </w:p>
    <w:p w14:paraId="37D1A9AF" w14:textId="77777777" w:rsidR="00D51740" w:rsidRDefault="00D51740" w:rsidP="00526FAB">
      <w:pPr>
        <w:tabs>
          <w:tab w:val="left" w:pos="426"/>
        </w:tabs>
        <w:rPr>
          <w:sz w:val="18"/>
        </w:rPr>
      </w:pPr>
    </w:p>
    <w:p w14:paraId="444DE94F" w14:textId="77777777" w:rsidR="00D51740" w:rsidRDefault="00D51740" w:rsidP="00526FAB">
      <w:pPr>
        <w:tabs>
          <w:tab w:val="left" w:pos="426"/>
        </w:tabs>
        <w:rPr>
          <w:sz w:val="18"/>
        </w:rPr>
      </w:pPr>
    </w:p>
    <w:p w14:paraId="17BB5FB7" w14:textId="77777777" w:rsidR="00D51740" w:rsidRDefault="00D51740" w:rsidP="00526FAB">
      <w:pPr>
        <w:tabs>
          <w:tab w:val="left" w:pos="426"/>
        </w:tabs>
        <w:rPr>
          <w:sz w:val="18"/>
        </w:rPr>
      </w:pPr>
    </w:p>
    <w:p w14:paraId="092780B0" w14:textId="4B808CD2" w:rsidR="00F35B71" w:rsidRDefault="00F35B71" w:rsidP="00526FAB">
      <w:pPr>
        <w:tabs>
          <w:tab w:val="left" w:pos="426"/>
        </w:tabs>
        <w:rPr>
          <w:sz w:val="18"/>
        </w:rPr>
      </w:pPr>
    </w:p>
    <w:p w14:paraId="1DA72690" w14:textId="307F26B9" w:rsidR="00F35B71" w:rsidRDefault="00F35B71" w:rsidP="00526FAB">
      <w:pPr>
        <w:tabs>
          <w:tab w:val="left" w:pos="426"/>
        </w:tabs>
        <w:rPr>
          <w:sz w:val="18"/>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426"/>
        <w:gridCol w:w="8505"/>
      </w:tblGrid>
      <w:tr w:rsidR="00526FAB" w:rsidRPr="009D750F" w14:paraId="292F73B6" w14:textId="77777777" w:rsidTr="00526FAB">
        <w:tc>
          <w:tcPr>
            <w:tcW w:w="426" w:type="dxa"/>
            <w:tcBorders>
              <w:top w:val="nil"/>
              <w:left w:val="nil"/>
              <w:bottom w:val="nil"/>
              <w:right w:val="nil"/>
            </w:tcBorders>
          </w:tcPr>
          <w:p w14:paraId="69AC01E3" w14:textId="77777777" w:rsidR="000376B1" w:rsidRPr="009D750F" w:rsidRDefault="000376B1" w:rsidP="00526FAB">
            <w:pPr>
              <w:tabs>
                <w:tab w:val="left" w:pos="426"/>
              </w:tabs>
              <w:rPr>
                <w:rFonts w:ascii="Arial" w:hAnsi="Arial" w:cs="Arial"/>
                <w:b/>
                <w:sz w:val="24"/>
                <w:vertAlign w:val="superscript"/>
              </w:rPr>
            </w:pPr>
          </w:p>
        </w:tc>
        <w:tc>
          <w:tcPr>
            <w:tcW w:w="8505" w:type="dxa"/>
            <w:tcBorders>
              <w:top w:val="nil"/>
              <w:left w:val="nil"/>
              <w:bottom w:val="nil"/>
              <w:right w:val="nil"/>
            </w:tcBorders>
          </w:tcPr>
          <w:p w14:paraId="06D15ED3" w14:textId="77777777" w:rsidR="00526FAB" w:rsidRPr="009D750F" w:rsidRDefault="00526FAB" w:rsidP="00526FAB">
            <w:pPr>
              <w:tabs>
                <w:tab w:val="left" w:pos="426"/>
              </w:tabs>
              <w:rPr>
                <w:rFonts w:ascii="Arial" w:hAnsi="Arial" w:cs="Arial"/>
                <w:b/>
                <w:sz w:val="19"/>
                <w:szCs w:val="19"/>
              </w:rPr>
            </w:pPr>
            <w:r w:rsidRPr="009D750F">
              <w:rPr>
                <w:rFonts w:ascii="Arial" w:hAnsi="Arial" w:cs="Arial"/>
                <w:b/>
                <w:sz w:val="19"/>
                <w:szCs w:val="19"/>
              </w:rPr>
              <w:t>Použité skratky</w:t>
            </w:r>
          </w:p>
        </w:tc>
      </w:tr>
      <w:tr w:rsidR="00526FAB" w:rsidRPr="009D750F" w14:paraId="0690E049" w14:textId="77777777" w:rsidTr="00526FAB">
        <w:tc>
          <w:tcPr>
            <w:tcW w:w="426" w:type="dxa"/>
            <w:tcBorders>
              <w:top w:val="nil"/>
              <w:left w:val="nil"/>
              <w:bottom w:val="nil"/>
              <w:right w:val="nil"/>
            </w:tcBorders>
          </w:tcPr>
          <w:p w14:paraId="1C76C34B" w14:textId="77777777" w:rsidR="00526FAB" w:rsidRPr="009D750F" w:rsidRDefault="00526FAB" w:rsidP="00526FAB">
            <w:pPr>
              <w:tabs>
                <w:tab w:val="left" w:pos="426"/>
              </w:tabs>
              <w:rPr>
                <w:rFonts w:ascii="Arial" w:hAnsi="Arial" w:cs="Arial"/>
                <w:b/>
                <w:sz w:val="24"/>
                <w:vertAlign w:val="superscript"/>
              </w:rPr>
            </w:pPr>
          </w:p>
        </w:tc>
        <w:tc>
          <w:tcPr>
            <w:tcW w:w="8505" w:type="dxa"/>
            <w:tcBorders>
              <w:top w:val="nil"/>
              <w:left w:val="nil"/>
              <w:bottom w:val="nil"/>
              <w:right w:val="nil"/>
            </w:tcBorders>
          </w:tcPr>
          <w:p w14:paraId="132ED43D" w14:textId="4B3E8082" w:rsidR="00526FAB" w:rsidRPr="009D750F" w:rsidRDefault="00526FAB" w:rsidP="00526FAB">
            <w:pPr>
              <w:tabs>
                <w:tab w:val="left" w:pos="426"/>
              </w:tabs>
              <w:rPr>
                <w:rFonts w:ascii="Arial" w:hAnsi="Arial" w:cs="Arial"/>
                <w:sz w:val="18"/>
              </w:rPr>
            </w:pPr>
            <w:r w:rsidRPr="009D750F">
              <w:rPr>
                <w:rFonts w:ascii="Arial" w:hAnsi="Arial" w:cs="Arial"/>
                <w:sz w:val="18"/>
              </w:rPr>
              <w:t>p. b.</w:t>
            </w:r>
            <w:r w:rsidR="00DD479B">
              <w:rPr>
                <w:rFonts w:ascii="Arial" w:hAnsi="Arial" w:cs="Arial"/>
                <w:sz w:val="18"/>
              </w:rPr>
              <w:t xml:space="preserve">   </w:t>
            </w:r>
            <w:r w:rsidRPr="009D750F">
              <w:rPr>
                <w:rFonts w:ascii="Arial" w:hAnsi="Arial" w:cs="Arial"/>
                <w:sz w:val="18"/>
              </w:rPr>
              <w:t>percentuálny bod</w:t>
            </w:r>
          </w:p>
        </w:tc>
      </w:tr>
      <w:tr w:rsidR="00526FAB" w:rsidRPr="009D750F" w14:paraId="1A6D4A6F" w14:textId="77777777" w:rsidTr="00526FAB">
        <w:tc>
          <w:tcPr>
            <w:tcW w:w="426" w:type="dxa"/>
            <w:tcBorders>
              <w:top w:val="nil"/>
              <w:left w:val="nil"/>
              <w:bottom w:val="nil"/>
              <w:right w:val="nil"/>
            </w:tcBorders>
          </w:tcPr>
          <w:p w14:paraId="7EF905DD"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3262FC14" w14:textId="48D61D75" w:rsidR="00526FAB" w:rsidRPr="009D750F" w:rsidRDefault="00526FAB" w:rsidP="00526FAB">
            <w:pPr>
              <w:tabs>
                <w:tab w:val="left" w:pos="426"/>
              </w:tabs>
              <w:rPr>
                <w:rFonts w:ascii="Arial" w:hAnsi="Arial" w:cs="Arial"/>
                <w:sz w:val="18"/>
              </w:rPr>
            </w:pPr>
            <w:r w:rsidRPr="009D750F">
              <w:rPr>
                <w:rFonts w:ascii="Arial" w:hAnsi="Arial" w:cs="Arial"/>
                <w:sz w:val="18"/>
              </w:rPr>
              <w:t>i. n.</w:t>
            </w:r>
            <w:r w:rsidR="00DD479B">
              <w:rPr>
                <w:rFonts w:ascii="Arial" w:hAnsi="Arial" w:cs="Arial"/>
                <w:sz w:val="18"/>
              </w:rPr>
              <w:t xml:space="preserve">   </w:t>
            </w:r>
            <w:r w:rsidRPr="009D750F">
              <w:rPr>
                <w:rFonts w:ascii="Arial" w:hAnsi="Arial" w:cs="Arial"/>
                <w:sz w:val="18"/>
              </w:rPr>
              <w:t> inde neklasifikované</w:t>
            </w:r>
          </w:p>
        </w:tc>
      </w:tr>
      <w:tr w:rsidR="00526FAB" w:rsidRPr="009D750F" w14:paraId="546EC504" w14:textId="77777777" w:rsidTr="00526FAB">
        <w:tc>
          <w:tcPr>
            <w:tcW w:w="426" w:type="dxa"/>
            <w:tcBorders>
              <w:top w:val="nil"/>
              <w:left w:val="nil"/>
              <w:bottom w:val="nil"/>
              <w:right w:val="nil"/>
            </w:tcBorders>
          </w:tcPr>
          <w:p w14:paraId="6DCD3C85"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5979CFE" w14:textId="76783B8D" w:rsidR="00526FAB" w:rsidRPr="009D750F" w:rsidRDefault="00526FAB" w:rsidP="00526FAB">
            <w:pPr>
              <w:tabs>
                <w:tab w:val="left" w:pos="426"/>
              </w:tabs>
              <w:rPr>
                <w:rFonts w:ascii="Arial" w:hAnsi="Arial" w:cs="Arial"/>
                <w:sz w:val="18"/>
              </w:rPr>
            </w:pPr>
            <w:r w:rsidRPr="009D750F">
              <w:rPr>
                <w:rFonts w:ascii="Arial" w:hAnsi="Arial" w:cs="Arial"/>
                <w:sz w:val="18"/>
              </w:rPr>
              <w:t>b. c.</w:t>
            </w:r>
            <w:r w:rsidR="00DD479B">
              <w:rPr>
                <w:rFonts w:ascii="Arial" w:hAnsi="Arial" w:cs="Arial"/>
                <w:sz w:val="18"/>
              </w:rPr>
              <w:t xml:space="preserve">   </w:t>
            </w:r>
            <w:r w:rsidRPr="009D750F">
              <w:rPr>
                <w:rFonts w:ascii="Arial" w:hAnsi="Arial" w:cs="Arial"/>
                <w:sz w:val="18"/>
              </w:rPr>
              <w:t>bežné ceny</w:t>
            </w:r>
          </w:p>
        </w:tc>
      </w:tr>
      <w:tr w:rsidR="00526FAB" w:rsidRPr="009D750F" w14:paraId="76665AFC" w14:textId="77777777" w:rsidTr="00526FAB">
        <w:tc>
          <w:tcPr>
            <w:tcW w:w="426" w:type="dxa"/>
            <w:tcBorders>
              <w:top w:val="nil"/>
              <w:left w:val="nil"/>
              <w:bottom w:val="nil"/>
              <w:right w:val="nil"/>
            </w:tcBorders>
          </w:tcPr>
          <w:p w14:paraId="38891753"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E50A211" w14:textId="51469E6B" w:rsidR="00526FAB" w:rsidRPr="009D750F" w:rsidRDefault="00526FAB" w:rsidP="00526FAB">
            <w:pPr>
              <w:tabs>
                <w:tab w:val="left" w:pos="426"/>
              </w:tabs>
              <w:rPr>
                <w:rFonts w:ascii="Arial" w:hAnsi="Arial" w:cs="Arial"/>
                <w:sz w:val="18"/>
              </w:rPr>
            </w:pPr>
            <w:r w:rsidRPr="009D750F">
              <w:rPr>
                <w:rFonts w:ascii="Arial" w:hAnsi="Arial" w:cs="Arial"/>
                <w:sz w:val="18"/>
              </w:rPr>
              <w:t>s. c.</w:t>
            </w:r>
            <w:r w:rsidR="00DD479B">
              <w:rPr>
                <w:rFonts w:ascii="Arial" w:hAnsi="Arial" w:cs="Arial"/>
                <w:sz w:val="18"/>
              </w:rPr>
              <w:t xml:space="preserve">   </w:t>
            </w:r>
            <w:r w:rsidRPr="009D750F">
              <w:rPr>
                <w:rFonts w:ascii="Arial" w:hAnsi="Arial" w:cs="Arial"/>
                <w:sz w:val="18"/>
              </w:rPr>
              <w:t>stále ceny</w:t>
            </w:r>
          </w:p>
        </w:tc>
      </w:tr>
      <w:tr w:rsidR="00526FAB" w:rsidRPr="009D750F" w14:paraId="0D15AE70" w14:textId="77777777" w:rsidTr="00526FAB">
        <w:tc>
          <w:tcPr>
            <w:tcW w:w="426" w:type="dxa"/>
            <w:tcBorders>
              <w:top w:val="nil"/>
              <w:left w:val="nil"/>
              <w:bottom w:val="nil"/>
              <w:right w:val="nil"/>
            </w:tcBorders>
          </w:tcPr>
          <w:p w14:paraId="4FBD7CA4"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4C1D7123" w14:textId="77777777" w:rsidR="00526FAB" w:rsidRDefault="00526FAB" w:rsidP="00526FAB">
            <w:pPr>
              <w:tabs>
                <w:tab w:val="left" w:pos="426"/>
              </w:tabs>
              <w:rPr>
                <w:rFonts w:ascii="Arial" w:hAnsi="Arial" w:cs="Arial"/>
                <w:sz w:val="18"/>
              </w:rPr>
            </w:pPr>
          </w:p>
          <w:p w14:paraId="33638C9A" w14:textId="721DB01B" w:rsidR="001A21BA" w:rsidRPr="009D750F" w:rsidRDefault="001A21BA" w:rsidP="00526FAB">
            <w:pPr>
              <w:tabs>
                <w:tab w:val="left" w:pos="426"/>
              </w:tabs>
              <w:rPr>
                <w:rFonts w:ascii="Arial" w:hAnsi="Arial" w:cs="Arial"/>
                <w:sz w:val="18"/>
              </w:rPr>
            </w:pPr>
            <w:r w:rsidRPr="001A21BA">
              <w:rPr>
                <w:rFonts w:ascii="Arial" w:hAnsi="Arial" w:cs="Arial"/>
                <w:sz w:val="18"/>
              </w:rPr>
              <w:t>Odchýlky v</w:t>
            </w:r>
            <w:r>
              <w:rPr>
                <w:rFonts w:ascii="Arial" w:hAnsi="Arial" w:cs="Arial"/>
                <w:sz w:val="18"/>
              </w:rPr>
              <w:t xml:space="preserve"> súčtoch a</w:t>
            </w:r>
            <w:r w:rsidRPr="001A21BA">
              <w:rPr>
                <w:rFonts w:ascii="Arial" w:hAnsi="Arial" w:cs="Arial"/>
                <w:sz w:val="18"/>
              </w:rPr>
              <w:t xml:space="preserve"> podieloch vznik</w:t>
            </w:r>
            <w:r>
              <w:rPr>
                <w:rFonts w:ascii="Arial" w:hAnsi="Arial" w:cs="Arial"/>
                <w:sz w:val="18"/>
              </w:rPr>
              <w:t>ajú</w:t>
            </w:r>
            <w:r w:rsidRPr="001A21BA">
              <w:rPr>
                <w:rFonts w:ascii="Arial" w:hAnsi="Arial" w:cs="Arial"/>
                <w:sz w:val="18"/>
              </w:rPr>
              <w:t xml:space="preserve"> zaokrúhľovaním čísel.</w:t>
            </w:r>
          </w:p>
        </w:tc>
      </w:tr>
      <w:tr w:rsidR="00526FAB" w:rsidRPr="009D750F" w14:paraId="261BDA85" w14:textId="77777777" w:rsidTr="00526FAB">
        <w:tc>
          <w:tcPr>
            <w:tcW w:w="426" w:type="dxa"/>
            <w:tcBorders>
              <w:top w:val="nil"/>
              <w:left w:val="nil"/>
              <w:bottom w:val="nil"/>
              <w:right w:val="nil"/>
            </w:tcBorders>
          </w:tcPr>
          <w:p w14:paraId="13D1C4E6"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17B6698" w14:textId="77777777" w:rsidR="00526FAB" w:rsidRPr="009D750F" w:rsidRDefault="00526FAB" w:rsidP="00526FAB">
            <w:pPr>
              <w:pStyle w:val="Nadpis1"/>
              <w:tabs>
                <w:tab w:val="left" w:pos="426"/>
              </w:tabs>
              <w:rPr>
                <w:rFonts w:cs="Arial"/>
                <w:sz w:val="19"/>
                <w:szCs w:val="19"/>
              </w:rPr>
            </w:pPr>
            <w:r w:rsidRPr="009D750F">
              <w:rPr>
                <w:rFonts w:cs="Arial"/>
                <w:sz w:val="19"/>
                <w:szCs w:val="19"/>
              </w:rPr>
              <w:t>Symboly použité v tabuľkách</w:t>
            </w:r>
          </w:p>
        </w:tc>
      </w:tr>
      <w:tr w:rsidR="00526FAB" w:rsidRPr="009D750F" w14:paraId="1A047E64" w14:textId="77777777" w:rsidTr="00526FAB">
        <w:tc>
          <w:tcPr>
            <w:tcW w:w="426" w:type="dxa"/>
            <w:tcBorders>
              <w:top w:val="nil"/>
              <w:left w:val="nil"/>
              <w:bottom w:val="nil"/>
              <w:right w:val="nil"/>
            </w:tcBorders>
          </w:tcPr>
          <w:p w14:paraId="159AD931"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08ADB1B" w14:textId="5DEC0F76" w:rsidR="00526FAB" w:rsidRPr="009D750F" w:rsidRDefault="00526FAB" w:rsidP="00526FAB">
            <w:pPr>
              <w:tabs>
                <w:tab w:val="left" w:pos="426"/>
              </w:tabs>
              <w:rPr>
                <w:rFonts w:ascii="Arial" w:hAnsi="Arial" w:cs="Arial"/>
                <w:sz w:val="18"/>
              </w:rPr>
            </w:pPr>
            <w:r w:rsidRPr="009D750F">
              <w:rPr>
                <w:rFonts w:ascii="Arial" w:hAnsi="Arial" w:cs="Arial"/>
                <w:sz w:val="18"/>
              </w:rPr>
              <w:t>bodka</w:t>
            </w:r>
            <w:r w:rsidR="00DD479B">
              <w:rPr>
                <w:rFonts w:ascii="Arial" w:hAnsi="Arial" w:cs="Arial"/>
                <w:sz w:val="18"/>
              </w:rPr>
              <w:t xml:space="preserve"> </w:t>
            </w:r>
            <w:r w:rsidRPr="009D750F">
              <w:rPr>
                <w:rFonts w:ascii="Arial" w:hAnsi="Arial" w:cs="Arial"/>
                <w:sz w:val="18"/>
              </w:rPr>
              <w:t>(</w:t>
            </w:r>
            <w:r w:rsidRPr="009D750F">
              <w:rPr>
                <w:rFonts w:ascii="Arial" w:hAnsi="Arial" w:cs="Arial"/>
                <w:b/>
              </w:rPr>
              <w:t>.</w:t>
            </w:r>
            <w:r w:rsidRPr="009D750F">
              <w:rPr>
                <w:rFonts w:ascii="Arial" w:hAnsi="Arial" w:cs="Arial"/>
                <w:sz w:val="18"/>
              </w:rPr>
              <w:t>)</w:t>
            </w:r>
            <w:r w:rsidR="00DD479B">
              <w:rPr>
                <w:rFonts w:ascii="Arial" w:hAnsi="Arial" w:cs="Arial"/>
                <w:sz w:val="18"/>
              </w:rPr>
              <w:t xml:space="preserve">       </w:t>
            </w:r>
            <w:r w:rsidRPr="009D750F">
              <w:rPr>
                <w:rFonts w:ascii="Arial" w:hAnsi="Arial" w:cs="Arial"/>
                <w:sz w:val="18"/>
              </w:rPr>
              <w:t>údaj nie je k dispozícii alebo je nespoľahlivý</w:t>
            </w:r>
          </w:p>
        </w:tc>
      </w:tr>
      <w:tr w:rsidR="00526FAB" w:rsidRPr="009D750F" w14:paraId="5B3E5717" w14:textId="77777777" w:rsidTr="00526FAB">
        <w:tc>
          <w:tcPr>
            <w:tcW w:w="426" w:type="dxa"/>
            <w:tcBorders>
              <w:top w:val="nil"/>
              <w:left w:val="nil"/>
              <w:bottom w:val="nil"/>
              <w:right w:val="nil"/>
            </w:tcBorders>
          </w:tcPr>
          <w:p w14:paraId="3971853D"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531156DE" w14:textId="02258D75" w:rsidR="00526FAB" w:rsidRPr="009D750F" w:rsidRDefault="00526FAB" w:rsidP="00526FAB">
            <w:pPr>
              <w:tabs>
                <w:tab w:val="left" w:pos="1773"/>
              </w:tabs>
              <w:ind w:left="1632" w:hanging="1632"/>
              <w:rPr>
                <w:rFonts w:ascii="Arial" w:hAnsi="Arial" w:cs="Arial"/>
                <w:sz w:val="18"/>
              </w:rPr>
            </w:pPr>
            <w:r w:rsidRPr="009D750F">
              <w:rPr>
                <w:rFonts w:ascii="Arial" w:hAnsi="Arial" w:cs="Arial"/>
                <w:sz w:val="18"/>
              </w:rPr>
              <w:t>ležatý krížik (x)</w:t>
            </w:r>
            <w:r w:rsidR="00DD479B">
              <w:rPr>
                <w:rFonts w:ascii="Arial" w:hAnsi="Arial" w:cs="Arial"/>
                <w:sz w:val="18"/>
              </w:rPr>
              <w:t xml:space="preserve">   </w:t>
            </w:r>
            <w:r w:rsidRPr="009D750F">
              <w:rPr>
                <w:rFonts w:ascii="Arial" w:hAnsi="Arial" w:cs="Arial"/>
                <w:sz w:val="18"/>
              </w:rPr>
              <w:t xml:space="preserve"> zápis nie je možný z logických dôvodov alebo v indexoch vedľa čísla znamená násobok</w:t>
            </w:r>
          </w:p>
        </w:tc>
      </w:tr>
      <w:tr w:rsidR="00526FAB" w:rsidRPr="009D750F" w14:paraId="00372373" w14:textId="77777777" w:rsidTr="00526FAB">
        <w:tc>
          <w:tcPr>
            <w:tcW w:w="426" w:type="dxa"/>
            <w:tcBorders>
              <w:top w:val="nil"/>
              <w:left w:val="nil"/>
              <w:bottom w:val="nil"/>
              <w:right w:val="nil"/>
            </w:tcBorders>
          </w:tcPr>
          <w:p w14:paraId="01A00266"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288ABE3" w14:textId="603D2B14" w:rsidR="00526FAB" w:rsidRPr="009D750F" w:rsidRDefault="00526FAB" w:rsidP="00526FAB">
            <w:pPr>
              <w:tabs>
                <w:tab w:val="left" w:pos="426"/>
              </w:tabs>
              <w:rPr>
                <w:rFonts w:ascii="Arial" w:hAnsi="Arial" w:cs="Arial"/>
                <w:sz w:val="18"/>
              </w:rPr>
            </w:pPr>
            <w:r w:rsidRPr="009D750F">
              <w:rPr>
                <w:rFonts w:ascii="Arial" w:hAnsi="Arial" w:cs="Arial"/>
                <w:sz w:val="18"/>
              </w:rPr>
              <w:t>ležatá čiarka</w:t>
            </w:r>
            <w:r w:rsidR="00DD479B">
              <w:rPr>
                <w:rFonts w:ascii="Arial" w:hAnsi="Arial" w:cs="Arial"/>
                <w:sz w:val="18"/>
              </w:rPr>
              <w:t xml:space="preserve"> </w:t>
            </w:r>
            <w:r w:rsidRPr="009D750F">
              <w:rPr>
                <w:rFonts w:ascii="Arial" w:hAnsi="Arial" w:cs="Arial"/>
                <w:sz w:val="18"/>
              </w:rPr>
              <w:t>(-)</w:t>
            </w:r>
            <w:r w:rsidR="00DD479B">
              <w:rPr>
                <w:rFonts w:ascii="Arial" w:hAnsi="Arial" w:cs="Arial"/>
                <w:sz w:val="18"/>
              </w:rPr>
              <w:t xml:space="preserve">  </w:t>
            </w:r>
            <w:r w:rsidRPr="009D750F">
              <w:rPr>
                <w:rFonts w:ascii="Arial" w:hAnsi="Arial" w:cs="Arial"/>
                <w:sz w:val="18"/>
              </w:rPr>
              <w:t>údaj sa nevyskytoval</w:t>
            </w:r>
          </w:p>
        </w:tc>
      </w:tr>
      <w:tr w:rsidR="00526FAB" w:rsidRPr="009D750F" w14:paraId="1031BF6E" w14:textId="77777777" w:rsidTr="00526FAB">
        <w:trPr>
          <w:trHeight w:val="664"/>
        </w:trPr>
        <w:tc>
          <w:tcPr>
            <w:tcW w:w="426" w:type="dxa"/>
            <w:tcBorders>
              <w:top w:val="nil"/>
              <w:left w:val="nil"/>
              <w:bottom w:val="nil"/>
              <w:right w:val="nil"/>
            </w:tcBorders>
          </w:tcPr>
          <w:p w14:paraId="5E5794B8"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60F13B8C" w14:textId="04402053" w:rsidR="00526FAB" w:rsidRPr="009D750F" w:rsidRDefault="00526FAB" w:rsidP="00526FAB">
            <w:pPr>
              <w:ind w:left="1767" w:hanging="1767"/>
              <w:rPr>
                <w:rFonts w:ascii="Arial" w:hAnsi="Arial" w:cs="Arial"/>
                <w:sz w:val="18"/>
              </w:rPr>
            </w:pPr>
            <w:r w:rsidRPr="009D750F">
              <w:rPr>
                <w:rFonts w:ascii="Arial" w:hAnsi="Arial" w:cs="Arial"/>
                <w:sz w:val="18"/>
              </w:rPr>
              <w:t>nula (0)</w:t>
            </w:r>
            <w:r w:rsidR="00DD479B">
              <w:rPr>
                <w:rFonts w:ascii="Arial" w:hAnsi="Arial" w:cs="Arial"/>
                <w:sz w:val="18"/>
              </w:rPr>
              <w:t xml:space="preserve">         </w:t>
            </w:r>
            <w:r w:rsidRPr="009D750F">
              <w:rPr>
                <w:rFonts w:ascii="Arial" w:hAnsi="Arial" w:cs="Arial"/>
                <w:sz w:val="18"/>
              </w:rPr>
              <w:t xml:space="preserve">realizácia dovozu, resp. vývozu bola menšia ako najmenšia jednotka </w:t>
            </w:r>
          </w:p>
          <w:p w14:paraId="218656E2" w14:textId="3CE4C3FD" w:rsidR="00526FAB" w:rsidRPr="009D750F" w:rsidRDefault="00526FAB" w:rsidP="00526FAB">
            <w:pPr>
              <w:ind w:left="1490"/>
              <w:rPr>
                <w:rFonts w:ascii="Arial" w:hAnsi="Arial" w:cs="Arial"/>
                <w:sz w:val="18"/>
              </w:rPr>
            </w:pPr>
            <w:r w:rsidRPr="009D750F">
              <w:rPr>
                <w:rFonts w:ascii="Arial" w:hAnsi="Arial" w:cs="Arial"/>
                <w:sz w:val="18"/>
              </w:rPr>
              <w:t>vyjadrená</w:t>
            </w:r>
            <w:r w:rsidR="00DD479B">
              <w:rPr>
                <w:rFonts w:ascii="Arial" w:hAnsi="Arial" w:cs="Arial"/>
                <w:sz w:val="18"/>
              </w:rPr>
              <w:t xml:space="preserve"> </w:t>
            </w:r>
            <w:r w:rsidRPr="009D750F">
              <w:rPr>
                <w:rFonts w:ascii="Arial" w:hAnsi="Arial" w:cs="Arial"/>
                <w:sz w:val="18"/>
              </w:rPr>
              <w:t>v tabuľke</w:t>
            </w:r>
          </w:p>
          <w:p w14:paraId="39BFDA98" w14:textId="1EB7C409" w:rsidR="00526FAB" w:rsidRPr="009D750F" w:rsidRDefault="00526FAB" w:rsidP="00526FAB">
            <w:pPr>
              <w:tabs>
                <w:tab w:val="left" w:pos="426"/>
              </w:tabs>
              <w:rPr>
                <w:rFonts w:ascii="Arial" w:hAnsi="Arial" w:cs="Arial"/>
                <w:sz w:val="18"/>
              </w:rPr>
            </w:pPr>
            <w:r w:rsidRPr="009D750F">
              <w:rPr>
                <w:rFonts w:ascii="Arial" w:hAnsi="Arial" w:cs="Arial"/>
                <w:sz w:val="18"/>
              </w:rPr>
              <w:t>veľké D (D)</w:t>
            </w:r>
            <w:r w:rsidR="00DD479B">
              <w:rPr>
                <w:rFonts w:ascii="Arial" w:hAnsi="Arial" w:cs="Arial"/>
                <w:sz w:val="18"/>
              </w:rPr>
              <w:t xml:space="preserve">      </w:t>
            </w:r>
            <w:r w:rsidRPr="009D750F">
              <w:rPr>
                <w:rFonts w:ascii="Arial" w:hAnsi="Arial" w:cs="Arial"/>
                <w:sz w:val="18"/>
              </w:rPr>
              <w:t>údaj nie je možné publikovať pre jeho dôverný charakter</w:t>
            </w:r>
            <w:r w:rsidRPr="009D750F">
              <w:rPr>
                <w:rFonts w:ascii="Arial" w:hAnsi="Arial" w:cs="Arial"/>
                <w:sz w:val="18"/>
                <w:lang w:val="cs-CZ"/>
              </w:rPr>
              <w:t xml:space="preserve"> </w:t>
            </w:r>
          </w:p>
        </w:tc>
      </w:tr>
      <w:tr w:rsidR="001A21BA" w:rsidRPr="009D750F" w14:paraId="16D9D4E1" w14:textId="77777777" w:rsidTr="00526FAB">
        <w:trPr>
          <w:trHeight w:val="664"/>
        </w:trPr>
        <w:tc>
          <w:tcPr>
            <w:tcW w:w="426" w:type="dxa"/>
            <w:tcBorders>
              <w:top w:val="nil"/>
              <w:left w:val="nil"/>
              <w:bottom w:val="nil"/>
              <w:right w:val="nil"/>
            </w:tcBorders>
          </w:tcPr>
          <w:p w14:paraId="6A343D65" w14:textId="77777777" w:rsidR="001A21BA" w:rsidRPr="009D750F" w:rsidRDefault="001A21BA"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12440E0" w14:textId="77777777" w:rsidR="001A21BA" w:rsidRPr="009D750F" w:rsidRDefault="001A21BA" w:rsidP="00526FAB">
            <w:pPr>
              <w:ind w:left="1767" w:hanging="1767"/>
              <w:rPr>
                <w:rFonts w:ascii="Arial" w:hAnsi="Arial" w:cs="Arial"/>
                <w:sz w:val="18"/>
              </w:rPr>
            </w:pPr>
          </w:p>
        </w:tc>
      </w:tr>
    </w:tbl>
    <w:p w14:paraId="5D5891DE" w14:textId="77777777" w:rsidR="009F2CAE" w:rsidRDefault="009F2CAE" w:rsidP="00526FAB">
      <w:pPr>
        <w:tabs>
          <w:tab w:val="left" w:pos="426"/>
        </w:tabs>
        <w:rPr>
          <w:rFonts w:ascii="Arial" w:hAnsi="Arial" w:cs="Arial"/>
          <w:b/>
        </w:rPr>
      </w:pPr>
    </w:p>
    <w:p w14:paraId="6DB03C44" w14:textId="0A53BC6F" w:rsidR="00526FAB" w:rsidRPr="009D750F" w:rsidRDefault="00526FAB" w:rsidP="00526FAB">
      <w:pPr>
        <w:tabs>
          <w:tab w:val="left" w:pos="426"/>
        </w:tabs>
        <w:rPr>
          <w:rFonts w:ascii="Arial" w:hAnsi="Arial" w:cs="Arial"/>
          <w:b/>
        </w:rPr>
      </w:pPr>
      <w:r w:rsidRPr="009D750F">
        <w:rPr>
          <w:rFonts w:ascii="Arial" w:hAnsi="Arial" w:cs="Arial"/>
          <w:b/>
        </w:rPr>
        <w:t>ÚVOD</w:t>
      </w:r>
    </w:p>
    <w:p w14:paraId="1D04E468" w14:textId="77777777" w:rsidR="00526FAB" w:rsidRPr="009D750F" w:rsidRDefault="00526FAB" w:rsidP="00526FAB">
      <w:pPr>
        <w:tabs>
          <w:tab w:val="left" w:pos="426"/>
        </w:tabs>
        <w:rPr>
          <w:rFonts w:ascii="Arial" w:hAnsi="Arial" w:cs="Arial"/>
          <w:b/>
        </w:rPr>
      </w:pPr>
    </w:p>
    <w:p w14:paraId="5FBB2C3E" w14:textId="4E306231" w:rsidR="00526FAB" w:rsidRPr="009D750F" w:rsidRDefault="00526FAB" w:rsidP="00526FAB">
      <w:pPr>
        <w:tabs>
          <w:tab w:val="left" w:pos="426"/>
        </w:tabs>
        <w:ind w:firstLine="284"/>
        <w:rPr>
          <w:rFonts w:ascii="Arial" w:hAnsi="Arial" w:cs="Arial"/>
        </w:rPr>
      </w:pPr>
      <w:r w:rsidRPr="009D750F">
        <w:rPr>
          <w:rFonts w:ascii="Arial" w:hAnsi="Arial" w:cs="Arial"/>
        </w:rPr>
        <w:t>Predkladaná súborná publikácia je zameraná na an</w:t>
      </w:r>
      <w:r w:rsidR="00CB6770">
        <w:rPr>
          <w:rFonts w:ascii="Arial" w:hAnsi="Arial" w:cs="Arial"/>
        </w:rPr>
        <w:t>alýzu vývoja vybraných makroe</w:t>
      </w:r>
      <w:r w:rsidRPr="009D750F">
        <w:rPr>
          <w:rFonts w:ascii="Arial" w:hAnsi="Arial" w:cs="Arial"/>
        </w:rPr>
        <w:t xml:space="preserve">konomických, úsekových a odvetvových ukazovateľov na celoslovenskej úrovni. Podľa dostupnosti údajov boli analyzované jednotlivé ukazovatele aj na regionálnej úrovni a podľa veľkostnej štruktúry podnikov. </w:t>
      </w:r>
    </w:p>
    <w:p w14:paraId="2A9D24C9" w14:textId="77777777" w:rsidR="00526FAB" w:rsidRPr="009D750F" w:rsidRDefault="00526FAB" w:rsidP="00526FAB">
      <w:pPr>
        <w:tabs>
          <w:tab w:val="left" w:pos="426"/>
        </w:tabs>
        <w:ind w:firstLine="284"/>
        <w:rPr>
          <w:rFonts w:ascii="Arial" w:hAnsi="Arial" w:cs="Arial"/>
        </w:rPr>
      </w:pPr>
    </w:p>
    <w:p w14:paraId="6998F9D3" w14:textId="724E6C92" w:rsidR="00526FAB" w:rsidRPr="009D750F" w:rsidRDefault="00526FAB" w:rsidP="00526FAB">
      <w:pPr>
        <w:tabs>
          <w:tab w:val="left" w:pos="426"/>
        </w:tabs>
        <w:ind w:firstLine="284"/>
        <w:rPr>
          <w:rFonts w:ascii="Arial" w:hAnsi="Arial" w:cs="Arial"/>
        </w:rPr>
      </w:pPr>
      <w:r w:rsidRPr="009D750F">
        <w:rPr>
          <w:rFonts w:ascii="Arial" w:hAnsi="Arial" w:cs="Arial"/>
        </w:rPr>
        <w:t>Publikácia je rozdelená do štyroch kapitol. Prvá kapitola obsahuje stručné hodnotenie vybraných ekonomických ukazovateľov za SR. Druhá kapitola je zameraná na analýzu vývoja hrubého domáceho produktu podľa výrobnej, výdavkovej a dôchodkovej metódy a analýzu vybraných makroeko</w:t>
      </w:r>
      <w:r w:rsidRPr="009D750F">
        <w:rPr>
          <w:rFonts w:ascii="Arial" w:hAnsi="Arial" w:cs="Arial"/>
        </w:rPr>
        <w:softHyphen/>
        <w:t>no</w:t>
      </w:r>
      <w:r w:rsidRPr="009D750F">
        <w:rPr>
          <w:rFonts w:ascii="Arial" w:hAnsi="Arial" w:cs="Arial"/>
        </w:rPr>
        <w:softHyphen/>
        <w:t>mic</w:t>
      </w:r>
      <w:r w:rsidRPr="009D750F">
        <w:rPr>
          <w:rFonts w:ascii="Arial" w:hAnsi="Arial" w:cs="Arial"/>
        </w:rPr>
        <w:softHyphen/>
        <w:t>kých ukazovateľov (sektor domácností, zahraničný ob</w:t>
      </w:r>
      <w:r w:rsidRPr="009D750F">
        <w:rPr>
          <w:rFonts w:ascii="Arial" w:hAnsi="Arial" w:cs="Arial"/>
        </w:rPr>
        <w:softHyphen/>
        <w:t>chod). Tretia kapitola zahŕňa informácie o vývoji spotrebiteľských cien, cien výrobcov a cenových deflátorov. Pro</w:t>
      </w:r>
      <w:r w:rsidRPr="009D750F">
        <w:rPr>
          <w:rFonts w:ascii="Arial" w:hAnsi="Arial" w:cs="Arial"/>
        </w:rPr>
        <w:softHyphen/>
        <w:t>blematike trhu práce je venovaná štvrtá kapitola. Sú v nej analy</w:t>
      </w:r>
      <w:r w:rsidRPr="009D750F">
        <w:rPr>
          <w:rFonts w:ascii="Arial" w:hAnsi="Arial" w:cs="Arial"/>
        </w:rPr>
        <w:softHyphen/>
        <w:t>zo</w:t>
      </w:r>
      <w:r w:rsidRPr="009D750F">
        <w:rPr>
          <w:rFonts w:ascii="Arial" w:hAnsi="Arial" w:cs="Arial"/>
        </w:rPr>
        <w:softHyphen/>
        <w:t>vané vybrané ukazovatele za ekonomickú aktivitu podľa Výberového zisťovania pracovných síl a priemerná mesačná mzda</w:t>
      </w:r>
      <w:r w:rsidR="00CB6770">
        <w:rPr>
          <w:rFonts w:ascii="Arial" w:hAnsi="Arial" w:cs="Arial"/>
        </w:rPr>
        <w:t xml:space="preserve"> za celé hospodárstvo SR</w:t>
      </w:r>
      <w:r w:rsidRPr="009D750F">
        <w:rPr>
          <w:rFonts w:ascii="Arial" w:hAnsi="Arial" w:cs="Arial"/>
        </w:rPr>
        <w:t>. Vybrané ukazovatele sú prezentované aj v</w:t>
      </w:r>
      <w:r w:rsidR="00CB6770">
        <w:rPr>
          <w:rFonts w:ascii="Arial" w:hAnsi="Arial" w:cs="Arial"/>
        </w:rPr>
        <w:t> </w:t>
      </w:r>
      <w:r w:rsidRPr="009D750F">
        <w:rPr>
          <w:rFonts w:ascii="Arial" w:hAnsi="Arial" w:cs="Arial"/>
        </w:rPr>
        <w:t>grafickom vy</w:t>
      </w:r>
      <w:r w:rsidRPr="009D750F">
        <w:rPr>
          <w:rFonts w:ascii="Arial" w:hAnsi="Arial" w:cs="Arial"/>
        </w:rPr>
        <w:softHyphen/>
        <w:t>jadrení. V závere publi</w:t>
      </w:r>
      <w:r w:rsidRPr="009D750F">
        <w:rPr>
          <w:rFonts w:ascii="Arial" w:hAnsi="Arial" w:cs="Arial"/>
        </w:rPr>
        <w:softHyphen/>
        <w:t>ká</w:t>
      </w:r>
      <w:r w:rsidRPr="009D750F">
        <w:rPr>
          <w:rFonts w:ascii="Arial" w:hAnsi="Arial" w:cs="Arial"/>
        </w:rPr>
        <w:softHyphen/>
        <w:t>cie sú uvedené metodické vy</w:t>
      </w:r>
      <w:r w:rsidRPr="009D750F">
        <w:rPr>
          <w:rFonts w:ascii="Arial" w:hAnsi="Arial" w:cs="Arial"/>
        </w:rPr>
        <w:softHyphen/>
        <w:t>svet</w:t>
      </w:r>
      <w:r w:rsidRPr="009D750F">
        <w:rPr>
          <w:rFonts w:ascii="Arial" w:hAnsi="Arial" w:cs="Arial"/>
        </w:rPr>
        <w:softHyphen/>
        <w:t>livky k vybraným údajovým ka</w:t>
      </w:r>
      <w:r w:rsidRPr="009D750F">
        <w:rPr>
          <w:rFonts w:ascii="Arial" w:hAnsi="Arial" w:cs="Arial"/>
        </w:rPr>
        <w:softHyphen/>
        <w:t>te</w:t>
      </w:r>
      <w:r w:rsidRPr="009D750F">
        <w:rPr>
          <w:rFonts w:ascii="Arial" w:hAnsi="Arial" w:cs="Arial"/>
        </w:rPr>
        <w:softHyphen/>
        <w:t>gó</w:t>
      </w:r>
      <w:r w:rsidRPr="009D750F">
        <w:rPr>
          <w:rFonts w:ascii="Arial" w:hAnsi="Arial" w:cs="Arial"/>
        </w:rPr>
        <w:softHyphen/>
        <w:t>riám.</w:t>
      </w:r>
    </w:p>
    <w:p w14:paraId="2CB50672" w14:textId="77777777" w:rsidR="00526FAB" w:rsidRPr="009D750F" w:rsidRDefault="00526FAB" w:rsidP="00526FAB">
      <w:pPr>
        <w:tabs>
          <w:tab w:val="left" w:pos="426"/>
        </w:tabs>
        <w:ind w:firstLine="284"/>
        <w:rPr>
          <w:rFonts w:ascii="Arial" w:hAnsi="Arial" w:cs="Arial"/>
        </w:rPr>
      </w:pPr>
    </w:p>
    <w:p w14:paraId="0A17F016" w14:textId="1A626688" w:rsidR="00526FAB" w:rsidRPr="00526FAB" w:rsidRDefault="00526FAB" w:rsidP="00CB6770">
      <w:pPr>
        <w:ind w:firstLine="284"/>
      </w:pPr>
      <w:r w:rsidRPr="009D750F">
        <w:rPr>
          <w:rFonts w:ascii="Arial" w:hAnsi="Arial" w:cs="Arial"/>
        </w:rPr>
        <w:t>Súčasťou publikácie je tabuľková časť zostavená zo súborných, úsekových a re</w:t>
      </w:r>
      <w:r w:rsidRPr="009D750F">
        <w:rPr>
          <w:rFonts w:ascii="Arial" w:hAnsi="Arial" w:cs="Arial"/>
        </w:rPr>
        <w:softHyphen/>
        <w:t>gio</w:t>
      </w:r>
      <w:r w:rsidRPr="009D750F">
        <w:rPr>
          <w:rFonts w:ascii="Arial" w:hAnsi="Arial" w:cs="Arial"/>
        </w:rPr>
        <w:softHyphen/>
        <w:t>nálnych pre</w:t>
      </w:r>
      <w:r w:rsidRPr="009D750F">
        <w:rPr>
          <w:rFonts w:ascii="Arial" w:hAnsi="Arial" w:cs="Arial"/>
        </w:rPr>
        <w:softHyphen/>
        <w:t>hľa</w:t>
      </w:r>
      <w:r w:rsidRPr="009D750F">
        <w:rPr>
          <w:rFonts w:ascii="Arial" w:hAnsi="Arial" w:cs="Arial"/>
        </w:rPr>
        <w:softHyphen/>
        <w:t>dov vy</w:t>
      </w:r>
      <w:r w:rsidRPr="009D750F">
        <w:rPr>
          <w:rFonts w:ascii="Arial" w:hAnsi="Arial" w:cs="Arial"/>
        </w:rPr>
        <w:softHyphen/>
        <w:t>braných ukazovateľov, ako aj údajov podľa veľkostných skupín pod</w:t>
      </w:r>
      <w:r w:rsidRPr="009D750F">
        <w:rPr>
          <w:rFonts w:ascii="Arial" w:hAnsi="Arial" w:cs="Arial"/>
        </w:rPr>
        <w:softHyphen/>
        <w:t>ni</w:t>
      </w:r>
      <w:r w:rsidRPr="009D750F">
        <w:rPr>
          <w:rFonts w:ascii="Arial" w:hAnsi="Arial" w:cs="Arial"/>
        </w:rPr>
        <w:softHyphen/>
        <w:t>kov. Podkladom sú údaje zo spracovania štatistických výkazov a výberových zisťovaní Š</w:t>
      </w:r>
      <w:r w:rsidR="00CB6770">
        <w:rPr>
          <w:rFonts w:ascii="Arial" w:hAnsi="Arial" w:cs="Arial"/>
        </w:rPr>
        <w:t>tatistického úradu SR, ako aj</w:t>
      </w:r>
      <w:r w:rsidRPr="009D750F">
        <w:rPr>
          <w:rFonts w:ascii="Arial" w:hAnsi="Arial" w:cs="Arial"/>
        </w:rPr>
        <w:t xml:space="preserve"> údajov iný</w:t>
      </w:r>
      <w:r w:rsidR="00CB6770">
        <w:rPr>
          <w:rFonts w:ascii="Arial" w:hAnsi="Arial" w:cs="Arial"/>
        </w:rPr>
        <w:t>ch</w:t>
      </w:r>
      <w:r w:rsidRPr="009D750F">
        <w:rPr>
          <w:rFonts w:ascii="Arial" w:hAnsi="Arial" w:cs="Arial"/>
        </w:rPr>
        <w:t xml:space="preserve"> ústredný</w:t>
      </w:r>
      <w:r w:rsidR="00CB6770">
        <w:rPr>
          <w:rFonts w:ascii="Arial" w:hAnsi="Arial" w:cs="Arial"/>
        </w:rPr>
        <w:t>ch</w:t>
      </w:r>
      <w:r w:rsidRPr="009D750F">
        <w:rPr>
          <w:rFonts w:ascii="Arial" w:hAnsi="Arial" w:cs="Arial"/>
        </w:rPr>
        <w:t xml:space="preserve"> orgán</w:t>
      </w:r>
      <w:r w:rsidR="00CB6770">
        <w:rPr>
          <w:rFonts w:ascii="Arial" w:hAnsi="Arial" w:cs="Arial"/>
        </w:rPr>
        <w:t>ov</w:t>
      </w:r>
      <w:r w:rsidRPr="009D750F">
        <w:rPr>
          <w:rFonts w:ascii="Arial" w:hAnsi="Arial" w:cs="Arial"/>
        </w:rPr>
        <w:t xml:space="preserve"> štátnej správy alebo organizáci</w:t>
      </w:r>
      <w:r w:rsidR="00CB6770">
        <w:rPr>
          <w:rFonts w:ascii="Arial" w:hAnsi="Arial" w:cs="Arial"/>
        </w:rPr>
        <w:t>e.</w:t>
      </w:r>
      <w:r w:rsidRPr="009D750F">
        <w:rPr>
          <w:rFonts w:ascii="Arial" w:hAnsi="Arial" w:cs="Arial"/>
        </w:rPr>
        <w:t xml:space="preserve"> </w:t>
      </w:r>
      <w:bookmarkStart w:id="0" w:name="_Toc454165828"/>
      <w:bookmarkStart w:id="1" w:name="_Toc388243304"/>
      <w:bookmarkStart w:id="2" w:name="_Toc404049079"/>
      <w:bookmarkStart w:id="3" w:name="_Toc405947970"/>
      <w:bookmarkStart w:id="4" w:name="_Toc412267399"/>
      <w:bookmarkStart w:id="5" w:name="_Toc431008764"/>
      <w:bookmarkStart w:id="6" w:name="_Toc438513780"/>
      <w:bookmarkStart w:id="7" w:name="_Toc446387829"/>
    </w:p>
    <w:p w14:paraId="4D5E0D08" w14:textId="53623071" w:rsidR="00190E0F" w:rsidRPr="002B7025" w:rsidRDefault="00526FAB" w:rsidP="009F4B5C">
      <w:pPr>
        <w:pStyle w:val="Nzov"/>
        <w:tabs>
          <w:tab w:val="left" w:pos="426"/>
        </w:tabs>
        <w:rPr>
          <w:rFonts w:ascii="Arial" w:hAnsi="Arial"/>
        </w:rPr>
      </w:pPr>
      <w:r>
        <w:rPr>
          <w:rFonts w:ascii="Arial" w:hAnsi="Arial"/>
        </w:rPr>
        <w:br w:type="column"/>
      </w:r>
      <w:r w:rsidR="00B45DFA" w:rsidRPr="002B7025">
        <w:rPr>
          <w:rFonts w:ascii="Arial" w:hAnsi="Arial"/>
        </w:rPr>
        <w:lastRenderedPageBreak/>
        <w:t xml:space="preserve">štatistická </w:t>
      </w:r>
      <w:r w:rsidR="00190E0F" w:rsidRPr="002B7025">
        <w:rPr>
          <w:rFonts w:ascii="Arial" w:hAnsi="Arial"/>
        </w:rPr>
        <w:t>správa</w:t>
      </w:r>
    </w:p>
    <w:p w14:paraId="2C26DBB3" w14:textId="1E293F5F" w:rsidR="00190E0F" w:rsidRPr="002B7025" w:rsidRDefault="005B4DCE" w:rsidP="009F4B5C">
      <w:pPr>
        <w:pStyle w:val="Nzov"/>
        <w:tabs>
          <w:tab w:val="left" w:pos="426"/>
        </w:tabs>
        <w:rPr>
          <w:rFonts w:ascii="Arial" w:hAnsi="Arial"/>
        </w:rPr>
      </w:pPr>
      <w:r w:rsidRPr="002B7025">
        <w:rPr>
          <w:rFonts w:ascii="Arial" w:hAnsi="Arial"/>
        </w:rPr>
        <w:t>o</w:t>
      </w:r>
      <w:r w:rsidR="00190E0F" w:rsidRPr="002B7025">
        <w:rPr>
          <w:rFonts w:ascii="Arial" w:hAnsi="Arial"/>
        </w:rPr>
        <w:t> hospodárstve SR</w:t>
      </w:r>
      <w:r w:rsidR="000621DD" w:rsidRPr="002B7025">
        <w:rPr>
          <w:rFonts w:ascii="Arial" w:hAnsi="Arial"/>
        </w:rPr>
        <w:t xml:space="preserve"> </w:t>
      </w:r>
      <w:r w:rsidR="00190E0F" w:rsidRPr="002B7025">
        <w:rPr>
          <w:rFonts w:ascii="Arial" w:hAnsi="Arial"/>
        </w:rPr>
        <w:t>v</w:t>
      </w:r>
      <w:r w:rsidR="008B5BC4">
        <w:rPr>
          <w:rFonts w:ascii="Arial" w:hAnsi="Arial"/>
        </w:rPr>
        <w:t>O</w:t>
      </w:r>
      <w:r w:rsidR="00E536AC" w:rsidRPr="002B7025">
        <w:rPr>
          <w:rFonts w:ascii="Arial" w:hAnsi="Arial"/>
        </w:rPr>
        <w:t> </w:t>
      </w:r>
      <w:r w:rsidR="008B5BC4">
        <w:rPr>
          <w:rFonts w:ascii="Arial" w:hAnsi="Arial"/>
        </w:rPr>
        <w:t>4</w:t>
      </w:r>
      <w:r w:rsidR="00E536AC" w:rsidRPr="002B7025">
        <w:rPr>
          <w:rFonts w:ascii="Arial" w:hAnsi="Arial"/>
        </w:rPr>
        <w:t>.</w:t>
      </w:r>
      <w:r w:rsidR="00254325" w:rsidRPr="002B7025">
        <w:rPr>
          <w:rFonts w:ascii="Arial" w:hAnsi="Arial"/>
        </w:rPr>
        <w:t> </w:t>
      </w:r>
      <w:r w:rsidR="00E536AC" w:rsidRPr="002B7025">
        <w:rPr>
          <w:rFonts w:ascii="Arial" w:hAnsi="Arial"/>
        </w:rPr>
        <w:t>štvrť</w:t>
      </w:r>
      <w:r w:rsidR="00190E0F" w:rsidRPr="002B7025">
        <w:rPr>
          <w:rFonts w:ascii="Arial" w:hAnsi="Arial"/>
        </w:rPr>
        <w:t>roku</w:t>
      </w:r>
      <w:r w:rsidR="003A2F61" w:rsidRPr="002B7025">
        <w:rPr>
          <w:rFonts w:ascii="Arial" w:hAnsi="Arial"/>
        </w:rPr>
        <w:t> </w:t>
      </w:r>
      <w:r w:rsidR="00190E0F" w:rsidRPr="002B7025">
        <w:rPr>
          <w:rFonts w:ascii="Arial" w:hAnsi="Arial"/>
        </w:rPr>
        <w:t>20</w:t>
      </w:r>
      <w:r w:rsidR="009861F8" w:rsidRPr="002B7025">
        <w:rPr>
          <w:rFonts w:ascii="Arial" w:hAnsi="Arial"/>
        </w:rPr>
        <w:t>2</w:t>
      </w:r>
      <w:r w:rsidR="009F2CAE">
        <w:rPr>
          <w:rFonts w:ascii="Arial" w:hAnsi="Arial"/>
        </w:rPr>
        <w:t>5</w:t>
      </w:r>
    </w:p>
    <w:p w14:paraId="69C73C2A" w14:textId="77777777" w:rsidR="00212DD4" w:rsidRPr="002B7025" w:rsidRDefault="00212DD4" w:rsidP="009F4B5C">
      <w:pPr>
        <w:tabs>
          <w:tab w:val="left" w:pos="426"/>
        </w:tabs>
        <w:rPr>
          <w:rFonts w:ascii="Arial" w:hAnsi="Arial"/>
          <w:b/>
          <w:caps/>
          <w:sz w:val="16"/>
          <w:szCs w:val="16"/>
        </w:rPr>
      </w:pPr>
    </w:p>
    <w:p w14:paraId="1B5C04CE" w14:textId="77777777" w:rsidR="00C9595B" w:rsidRPr="009D750F" w:rsidRDefault="00C9595B" w:rsidP="009F4B5C">
      <w:pPr>
        <w:tabs>
          <w:tab w:val="left" w:pos="426"/>
        </w:tabs>
        <w:rPr>
          <w:rFonts w:ascii="Arial" w:hAnsi="Arial"/>
          <w:b/>
          <w:caps/>
          <w:sz w:val="16"/>
          <w:szCs w:val="16"/>
        </w:rPr>
      </w:pPr>
    </w:p>
    <w:p w14:paraId="34311BBE" w14:textId="4A3A36FD" w:rsidR="00190E0F" w:rsidRPr="009D750F" w:rsidRDefault="00190E0F" w:rsidP="009F4B5C">
      <w:pPr>
        <w:numPr>
          <w:ilvl w:val="0"/>
          <w:numId w:val="2"/>
        </w:numPr>
        <w:tabs>
          <w:tab w:val="left" w:pos="426"/>
        </w:tabs>
        <w:ind w:left="0"/>
        <w:jc w:val="left"/>
        <w:rPr>
          <w:rFonts w:ascii="Arial" w:hAnsi="Arial" w:cs="Arial"/>
        </w:rPr>
      </w:pPr>
      <w:r w:rsidRPr="009D750F">
        <w:rPr>
          <w:rFonts w:ascii="Arial" w:hAnsi="Arial"/>
          <w:b/>
          <w:caps/>
        </w:rPr>
        <w:t>ZÁK</w:t>
      </w:r>
      <w:r w:rsidR="00366A2D">
        <w:rPr>
          <w:rFonts w:ascii="Arial" w:hAnsi="Arial"/>
          <w:b/>
          <w:caps/>
        </w:rPr>
        <w:t>LADNÉ makroekonomické TENDENCIE</w:t>
      </w:r>
      <w:r w:rsidR="00E04F4F" w:rsidRPr="009D750F">
        <w:rPr>
          <w:rStyle w:val="Odkaznapoznmkupodiarou"/>
          <w:rFonts w:ascii="Arial" w:hAnsi="Arial" w:cs="Arial"/>
          <w:szCs w:val="16"/>
        </w:rPr>
        <w:footnoteReference w:id="1"/>
      </w:r>
      <w:r w:rsidR="00E04F4F" w:rsidRPr="009D750F">
        <w:rPr>
          <w:rStyle w:val="Odkaznapoznmkupodiarou"/>
          <w:rFonts w:ascii="Arial" w:hAnsi="Arial" w:cs="Arial"/>
        </w:rPr>
        <w:t>)</w:t>
      </w:r>
    </w:p>
    <w:p w14:paraId="5B0217BF" w14:textId="68397E2C" w:rsidR="00190E0F" w:rsidRPr="009D750F" w:rsidRDefault="008B5BC4" w:rsidP="009F4B5C">
      <w:pPr>
        <w:tabs>
          <w:tab w:val="left" w:pos="426"/>
        </w:tabs>
        <w:jc w:val="left"/>
        <w:rPr>
          <w:rFonts w:ascii="Arial" w:hAnsi="Arial"/>
          <w:szCs w:val="22"/>
        </w:rPr>
      </w:pPr>
      <w:r w:rsidRPr="009D750F">
        <w:rPr>
          <w:rFonts w:ascii="Arial" w:hAnsi="Arial"/>
          <w:sz w:val="20"/>
        </w:rPr>
        <w:t xml:space="preserve">(tab. </w:t>
      </w:r>
      <w:r>
        <w:rPr>
          <w:rFonts w:ascii="Arial" w:hAnsi="Arial"/>
          <w:sz w:val="20"/>
        </w:rPr>
        <w:t>T</w:t>
      </w:r>
      <w:r w:rsidRPr="009D750F">
        <w:rPr>
          <w:rFonts w:ascii="Arial" w:hAnsi="Arial"/>
          <w:sz w:val="20"/>
        </w:rPr>
        <w:t>2</w:t>
      </w:r>
      <w:r>
        <w:rPr>
          <w:rFonts w:ascii="Arial" w:hAnsi="Arial"/>
          <w:sz w:val="20"/>
        </w:rPr>
        <w:t>, T7</w:t>
      </w:r>
      <w:r w:rsidRPr="009D750F">
        <w:rPr>
          <w:rFonts w:ascii="Arial" w:hAnsi="Arial"/>
          <w:sz w:val="20"/>
        </w:rPr>
        <w:t>)</w:t>
      </w:r>
    </w:p>
    <w:tbl>
      <w:tblPr>
        <w:tblW w:w="9343" w:type="dxa"/>
        <w:tblInd w:w="-104" w:type="dxa"/>
        <w:tblLayout w:type="fixed"/>
        <w:tblCellMar>
          <w:left w:w="38" w:type="dxa"/>
          <w:right w:w="38" w:type="dxa"/>
        </w:tblCellMar>
        <w:tblLook w:val="0000" w:firstRow="0" w:lastRow="0" w:firstColumn="0" w:lastColumn="0" w:noHBand="0" w:noVBand="0"/>
      </w:tblPr>
      <w:tblGrid>
        <w:gridCol w:w="2443"/>
        <w:gridCol w:w="96"/>
        <w:gridCol w:w="13"/>
        <w:gridCol w:w="4340"/>
        <w:gridCol w:w="103"/>
        <w:gridCol w:w="2296"/>
        <w:gridCol w:w="52"/>
      </w:tblGrid>
      <w:tr w:rsidR="0059397C" w:rsidRPr="00341631" w14:paraId="038A3268" w14:textId="77777777" w:rsidTr="0086682D">
        <w:trPr>
          <w:gridAfter w:val="1"/>
          <w:wAfter w:w="52" w:type="dxa"/>
          <w:trHeight w:hRule="exact" w:val="10947"/>
        </w:trPr>
        <w:tc>
          <w:tcPr>
            <w:tcW w:w="6892" w:type="dxa"/>
            <w:gridSpan w:val="4"/>
            <w:tcBorders>
              <w:top w:val="nil"/>
              <w:left w:val="nil"/>
              <w:bottom w:val="nil"/>
              <w:right w:val="nil"/>
            </w:tcBorders>
          </w:tcPr>
          <w:p w14:paraId="592C46E2" w14:textId="0FD7AA6E" w:rsidR="00A93F85" w:rsidRPr="009F2CAE" w:rsidRDefault="00DD479B" w:rsidP="00A93F85">
            <w:pPr>
              <w:tabs>
                <w:tab w:val="left" w:pos="426"/>
              </w:tabs>
              <w:rPr>
                <w:color w:val="EE0000"/>
                <w:sz w:val="21"/>
                <w:szCs w:val="21"/>
              </w:rPr>
            </w:pPr>
            <w:r w:rsidRPr="009F2CAE">
              <w:rPr>
                <w:color w:val="EE0000"/>
                <w:sz w:val="21"/>
                <w:szCs w:val="21"/>
              </w:rPr>
              <w:t xml:space="preserve">  </w:t>
            </w:r>
            <w:r w:rsidR="00190E0F" w:rsidRPr="009F2CAE">
              <w:rPr>
                <w:color w:val="EE0000"/>
                <w:sz w:val="21"/>
                <w:szCs w:val="21"/>
              </w:rPr>
              <w:t xml:space="preserve"> </w:t>
            </w:r>
          </w:p>
          <w:p w14:paraId="4B427527" w14:textId="75468E2B" w:rsidR="00A21745" w:rsidRPr="0046244D" w:rsidRDefault="00E121D1" w:rsidP="006734FF">
            <w:pPr>
              <w:tabs>
                <w:tab w:val="left" w:pos="426"/>
              </w:tabs>
              <w:ind w:firstLine="284"/>
              <w:rPr>
                <w:rFonts w:ascii="Arial" w:hAnsi="Arial" w:cs="Arial"/>
                <w:i/>
                <w:sz w:val="10"/>
                <w:szCs w:val="10"/>
              </w:rPr>
            </w:pPr>
            <w:r w:rsidRPr="0046244D">
              <w:rPr>
                <w:rFonts w:ascii="Arial" w:hAnsi="Arial" w:cs="Arial"/>
                <w:sz w:val="21"/>
                <w:szCs w:val="21"/>
              </w:rPr>
              <w:t>Rast e</w:t>
            </w:r>
            <w:r w:rsidR="00AA0FFE" w:rsidRPr="0046244D">
              <w:rPr>
                <w:rFonts w:ascii="Arial" w:hAnsi="Arial" w:cs="Arial"/>
                <w:sz w:val="21"/>
                <w:szCs w:val="21"/>
              </w:rPr>
              <w:t>konomik</w:t>
            </w:r>
            <w:r w:rsidRPr="0046244D">
              <w:rPr>
                <w:rFonts w:ascii="Arial" w:hAnsi="Arial" w:cs="Arial"/>
                <w:sz w:val="21"/>
                <w:szCs w:val="21"/>
              </w:rPr>
              <w:t>y</w:t>
            </w:r>
            <w:r w:rsidR="00AA0FFE" w:rsidRPr="0046244D">
              <w:rPr>
                <w:rFonts w:ascii="Arial" w:hAnsi="Arial" w:cs="Arial"/>
                <w:sz w:val="21"/>
                <w:szCs w:val="21"/>
              </w:rPr>
              <w:t xml:space="preserve"> SR </w:t>
            </w:r>
            <w:r w:rsidR="001668E9" w:rsidRPr="0046244D">
              <w:rPr>
                <w:rFonts w:ascii="Arial" w:hAnsi="Arial" w:cs="Arial"/>
                <w:sz w:val="21"/>
                <w:szCs w:val="21"/>
              </w:rPr>
              <w:t>zostal v</w:t>
            </w:r>
            <w:r w:rsidR="0046244D" w:rsidRPr="0046244D">
              <w:rPr>
                <w:rFonts w:ascii="Arial" w:hAnsi="Arial" w:cs="Arial"/>
                <w:sz w:val="21"/>
                <w:szCs w:val="21"/>
              </w:rPr>
              <w:t xml:space="preserve"> miernom </w:t>
            </w:r>
            <w:r w:rsidR="001668E9" w:rsidRPr="0046244D">
              <w:rPr>
                <w:rFonts w:ascii="Arial" w:hAnsi="Arial" w:cs="Arial"/>
                <w:sz w:val="21"/>
                <w:szCs w:val="21"/>
              </w:rPr>
              <w:t xml:space="preserve">pluse, </w:t>
            </w:r>
            <w:r w:rsidR="00AA0FFE" w:rsidRPr="0046244D">
              <w:rPr>
                <w:rFonts w:ascii="Arial" w:hAnsi="Arial" w:cs="Arial"/>
                <w:sz w:val="21"/>
                <w:szCs w:val="21"/>
              </w:rPr>
              <w:t xml:space="preserve">tempo rastu </w:t>
            </w:r>
            <w:r w:rsidR="001668E9" w:rsidRPr="0046244D">
              <w:rPr>
                <w:rFonts w:ascii="Arial" w:hAnsi="Arial" w:cs="Arial"/>
                <w:sz w:val="21"/>
                <w:szCs w:val="21"/>
              </w:rPr>
              <w:t xml:space="preserve">bolo </w:t>
            </w:r>
            <w:r w:rsidR="00972C49" w:rsidRPr="0046244D">
              <w:rPr>
                <w:rFonts w:ascii="Arial" w:hAnsi="Arial" w:cs="Arial"/>
                <w:sz w:val="21"/>
                <w:szCs w:val="21"/>
              </w:rPr>
              <w:t>naj</w:t>
            </w:r>
            <w:r w:rsidR="0046244D" w:rsidRPr="0046244D">
              <w:rPr>
                <w:rFonts w:ascii="Arial" w:hAnsi="Arial" w:cs="Arial"/>
                <w:sz w:val="21"/>
                <w:szCs w:val="21"/>
              </w:rPr>
              <w:t>pomalšie za posledné tri roky</w:t>
            </w:r>
            <w:r w:rsidR="00972C49" w:rsidRPr="0046244D">
              <w:rPr>
                <w:rFonts w:ascii="Arial" w:hAnsi="Arial" w:cs="Arial"/>
                <w:sz w:val="21"/>
                <w:szCs w:val="21"/>
              </w:rPr>
              <w:t>.</w:t>
            </w:r>
            <w:r w:rsidR="00A56B35" w:rsidRPr="0046244D">
              <w:rPr>
                <w:rFonts w:ascii="Arial" w:hAnsi="Arial" w:cs="Arial"/>
                <w:sz w:val="21"/>
                <w:szCs w:val="21"/>
              </w:rPr>
              <w:t xml:space="preserve"> </w:t>
            </w:r>
            <w:r w:rsidR="006734FF" w:rsidRPr="0046244D">
              <w:rPr>
                <w:rFonts w:ascii="Arial" w:hAnsi="Arial" w:cs="Arial"/>
                <w:sz w:val="21"/>
                <w:szCs w:val="21"/>
              </w:rPr>
              <w:t xml:space="preserve">Zamestnanosť podľa výberového zisťovania pracovných síl </w:t>
            </w:r>
            <w:r w:rsidR="005A03E8" w:rsidRPr="0046244D">
              <w:rPr>
                <w:rFonts w:ascii="Arial" w:hAnsi="Arial" w:cs="Arial"/>
                <w:sz w:val="21"/>
                <w:szCs w:val="21"/>
              </w:rPr>
              <w:t xml:space="preserve">mierne </w:t>
            </w:r>
            <w:r w:rsidR="001668E9" w:rsidRPr="0046244D">
              <w:rPr>
                <w:rFonts w:ascii="Arial" w:hAnsi="Arial" w:cs="Arial"/>
                <w:sz w:val="21"/>
                <w:szCs w:val="21"/>
              </w:rPr>
              <w:t>klesla</w:t>
            </w:r>
            <w:r w:rsidR="00DF0FB9" w:rsidRPr="0046244D">
              <w:rPr>
                <w:rFonts w:ascii="Arial" w:hAnsi="Arial" w:cs="Arial"/>
                <w:sz w:val="21"/>
                <w:szCs w:val="21"/>
              </w:rPr>
              <w:t xml:space="preserve">, </w:t>
            </w:r>
            <w:r w:rsidR="00E61AAE" w:rsidRPr="0046244D">
              <w:rPr>
                <w:rFonts w:ascii="Arial" w:hAnsi="Arial" w:cs="Arial"/>
                <w:sz w:val="21"/>
                <w:szCs w:val="21"/>
              </w:rPr>
              <w:t>nezamestnanos</w:t>
            </w:r>
            <w:r w:rsidR="00AA0FFE" w:rsidRPr="0046244D">
              <w:rPr>
                <w:rFonts w:ascii="Arial" w:hAnsi="Arial" w:cs="Arial"/>
                <w:sz w:val="21"/>
                <w:szCs w:val="21"/>
              </w:rPr>
              <w:t xml:space="preserve">ť </w:t>
            </w:r>
            <w:r w:rsidR="001668E9" w:rsidRPr="0046244D">
              <w:rPr>
                <w:rFonts w:ascii="Arial" w:hAnsi="Arial" w:cs="Arial"/>
                <w:sz w:val="21"/>
                <w:szCs w:val="21"/>
              </w:rPr>
              <w:t xml:space="preserve">sa </w:t>
            </w:r>
            <w:r w:rsidR="0046244D" w:rsidRPr="0046244D">
              <w:rPr>
                <w:rFonts w:ascii="Arial" w:hAnsi="Arial" w:cs="Arial"/>
                <w:sz w:val="21"/>
                <w:szCs w:val="21"/>
              </w:rPr>
              <w:t>mierne zvýšila</w:t>
            </w:r>
            <w:r w:rsidR="005A03E8" w:rsidRPr="0046244D">
              <w:rPr>
                <w:rFonts w:ascii="Arial" w:hAnsi="Arial" w:cs="Arial"/>
                <w:sz w:val="21"/>
                <w:szCs w:val="21"/>
              </w:rPr>
              <w:t>.</w:t>
            </w:r>
            <w:r w:rsidR="00641772" w:rsidRPr="0046244D">
              <w:rPr>
                <w:rFonts w:ascii="Arial" w:hAnsi="Arial" w:cs="Arial"/>
                <w:sz w:val="21"/>
                <w:szCs w:val="21"/>
              </w:rPr>
              <w:t xml:space="preserve"> </w:t>
            </w:r>
            <w:r w:rsidR="00A56B35" w:rsidRPr="0046244D">
              <w:rPr>
                <w:rFonts w:ascii="Arial" w:hAnsi="Arial" w:cs="Arial"/>
                <w:sz w:val="21"/>
                <w:szCs w:val="21"/>
              </w:rPr>
              <w:t>R</w:t>
            </w:r>
            <w:r w:rsidR="001A5C45" w:rsidRPr="0046244D">
              <w:rPr>
                <w:rFonts w:ascii="Arial" w:hAnsi="Arial" w:cs="Arial"/>
                <w:sz w:val="21"/>
                <w:szCs w:val="21"/>
              </w:rPr>
              <w:t>ast n</w:t>
            </w:r>
            <w:r w:rsidR="006D1C97" w:rsidRPr="0046244D">
              <w:rPr>
                <w:rFonts w:ascii="Arial" w:hAnsi="Arial" w:cs="Arial"/>
                <w:sz w:val="21"/>
                <w:szCs w:val="21"/>
              </w:rPr>
              <w:t>omináln</w:t>
            </w:r>
            <w:r w:rsidR="001A5C45" w:rsidRPr="0046244D">
              <w:rPr>
                <w:rFonts w:ascii="Arial" w:hAnsi="Arial" w:cs="Arial"/>
                <w:sz w:val="21"/>
                <w:szCs w:val="21"/>
              </w:rPr>
              <w:t xml:space="preserve">ych aj reálnych </w:t>
            </w:r>
            <w:r w:rsidR="006D1C97" w:rsidRPr="0046244D">
              <w:rPr>
                <w:rFonts w:ascii="Arial" w:hAnsi="Arial" w:cs="Arial"/>
                <w:sz w:val="21"/>
                <w:szCs w:val="21"/>
              </w:rPr>
              <w:t>m</w:t>
            </w:r>
            <w:r w:rsidR="001A5C45" w:rsidRPr="0046244D">
              <w:rPr>
                <w:rFonts w:ascii="Arial" w:hAnsi="Arial" w:cs="Arial"/>
                <w:sz w:val="21"/>
                <w:szCs w:val="21"/>
              </w:rPr>
              <w:t>ie</w:t>
            </w:r>
            <w:r w:rsidR="00942F1B" w:rsidRPr="0046244D">
              <w:rPr>
                <w:rFonts w:ascii="Arial" w:hAnsi="Arial" w:cs="Arial"/>
                <w:sz w:val="21"/>
                <w:szCs w:val="21"/>
              </w:rPr>
              <w:t>zd</w:t>
            </w:r>
            <w:r w:rsidR="00A56B35" w:rsidRPr="0046244D">
              <w:rPr>
                <w:rFonts w:ascii="Arial" w:hAnsi="Arial" w:cs="Arial"/>
                <w:sz w:val="21"/>
                <w:szCs w:val="21"/>
              </w:rPr>
              <w:t xml:space="preserve"> pokračoval </w:t>
            </w:r>
            <w:r w:rsidR="00457655">
              <w:rPr>
                <w:rFonts w:ascii="Arial" w:hAnsi="Arial" w:cs="Arial"/>
                <w:sz w:val="21"/>
                <w:szCs w:val="21"/>
              </w:rPr>
              <w:t xml:space="preserve">mierne </w:t>
            </w:r>
            <w:r w:rsidR="001668E9" w:rsidRPr="0046244D">
              <w:rPr>
                <w:rFonts w:ascii="Arial" w:hAnsi="Arial" w:cs="Arial"/>
                <w:sz w:val="21"/>
                <w:szCs w:val="21"/>
              </w:rPr>
              <w:t>výraznejším</w:t>
            </w:r>
            <w:r w:rsidR="00A56B35" w:rsidRPr="0046244D">
              <w:rPr>
                <w:rFonts w:ascii="Arial" w:hAnsi="Arial" w:cs="Arial"/>
                <w:sz w:val="21"/>
                <w:szCs w:val="21"/>
              </w:rPr>
              <w:t xml:space="preserve"> tempom</w:t>
            </w:r>
            <w:r w:rsidR="00FF011A" w:rsidRPr="0046244D">
              <w:rPr>
                <w:rFonts w:ascii="Arial" w:hAnsi="Arial" w:cs="Arial"/>
                <w:sz w:val="21"/>
                <w:szCs w:val="21"/>
              </w:rPr>
              <w:t xml:space="preserve">. </w:t>
            </w:r>
          </w:p>
          <w:p w14:paraId="4F9541B1" w14:textId="77777777" w:rsidR="003D7206" w:rsidRPr="008B5BC4" w:rsidRDefault="003D7206" w:rsidP="009F4B5C">
            <w:pPr>
              <w:tabs>
                <w:tab w:val="left" w:pos="426"/>
              </w:tabs>
              <w:ind w:firstLine="284"/>
              <w:rPr>
                <w:rFonts w:ascii="Arial" w:hAnsi="Arial" w:cs="Arial"/>
                <w:color w:val="EE0000"/>
                <w:sz w:val="21"/>
                <w:szCs w:val="21"/>
              </w:rPr>
            </w:pPr>
          </w:p>
          <w:p w14:paraId="2C060C0D" w14:textId="5EB52B55" w:rsidR="000C4AAF" w:rsidRPr="0046244D" w:rsidRDefault="009423A6" w:rsidP="009F4B5C">
            <w:pPr>
              <w:tabs>
                <w:tab w:val="left" w:pos="426"/>
              </w:tabs>
              <w:ind w:firstLine="284"/>
              <w:rPr>
                <w:rFonts w:ascii="Arial" w:hAnsi="Arial"/>
                <w:szCs w:val="16"/>
              </w:rPr>
            </w:pPr>
            <w:r w:rsidRPr="0046244D">
              <w:rPr>
                <w:rFonts w:ascii="Arial" w:hAnsi="Arial" w:cs="Arial"/>
                <w:sz w:val="21"/>
                <w:szCs w:val="21"/>
              </w:rPr>
              <w:t>Hrubý domáci produkt (HDP) sa v</w:t>
            </w:r>
            <w:r w:rsidR="0046244D" w:rsidRPr="0046244D">
              <w:rPr>
                <w:rFonts w:ascii="Arial" w:hAnsi="Arial" w:cs="Arial"/>
                <w:sz w:val="21"/>
                <w:szCs w:val="21"/>
              </w:rPr>
              <w:t>o</w:t>
            </w:r>
            <w:r w:rsidRPr="0046244D">
              <w:rPr>
                <w:rFonts w:ascii="Arial" w:hAnsi="Arial" w:cs="Arial"/>
                <w:sz w:val="21"/>
                <w:szCs w:val="21"/>
              </w:rPr>
              <w:t> </w:t>
            </w:r>
            <w:r w:rsidR="0046244D" w:rsidRPr="0046244D">
              <w:rPr>
                <w:rFonts w:ascii="Arial" w:hAnsi="Arial" w:cs="Arial"/>
                <w:sz w:val="21"/>
                <w:szCs w:val="21"/>
              </w:rPr>
              <w:t>4</w:t>
            </w:r>
            <w:r w:rsidRPr="0046244D">
              <w:rPr>
                <w:rFonts w:ascii="Arial" w:hAnsi="Arial" w:cs="Arial"/>
                <w:sz w:val="21"/>
                <w:szCs w:val="21"/>
              </w:rPr>
              <w:t>. štvrťroku 202</w:t>
            </w:r>
            <w:r w:rsidR="00AA0FFE" w:rsidRPr="0046244D">
              <w:rPr>
                <w:rFonts w:ascii="Arial" w:hAnsi="Arial" w:cs="Arial"/>
                <w:sz w:val="21"/>
                <w:szCs w:val="21"/>
              </w:rPr>
              <w:t>5</w:t>
            </w:r>
            <w:r w:rsidRPr="0046244D">
              <w:rPr>
                <w:rFonts w:ascii="Arial" w:hAnsi="Arial" w:cs="Arial"/>
                <w:sz w:val="21"/>
                <w:szCs w:val="21"/>
              </w:rPr>
              <w:t xml:space="preserve"> medziročne </w:t>
            </w:r>
            <w:r w:rsidR="005B5E52" w:rsidRPr="0046244D">
              <w:rPr>
                <w:rFonts w:ascii="Arial" w:hAnsi="Arial" w:cs="Arial"/>
                <w:sz w:val="21"/>
                <w:szCs w:val="21"/>
              </w:rPr>
              <w:t xml:space="preserve">v stálych cenách </w:t>
            </w:r>
            <w:r w:rsidRPr="0046244D">
              <w:rPr>
                <w:rFonts w:ascii="Arial" w:hAnsi="Arial" w:cs="Arial"/>
                <w:sz w:val="21"/>
                <w:szCs w:val="21"/>
              </w:rPr>
              <w:t>zvýšil o</w:t>
            </w:r>
            <w:r w:rsidR="00AA0FFE" w:rsidRPr="0046244D">
              <w:rPr>
                <w:rFonts w:ascii="Arial" w:hAnsi="Arial" w:cs="Arial"/>
                <w:sz w:val="21"/>
                <w:szCs w:val="21"/>
              </w:rPr>
              <w:t> </w:t>
            </w:r>
            <w:r w:rsidR="0046244D" w:rsidRPr="0046244D">
              <w:rPr>
                <w:rFonts w:ascii="Arial" w:hAnsi="Arial" w:cs="Arial"/>
                <w:sz w:val="21"/>
                <w:szCs w:val="21"/>
              </w:rPr>
              <w:t>1</w:t>
            </w:r>
            <w:r w:rsidR="00AA0FFE" w:rsidRPr="0046244D">
              <w:rPr>
                <w:rFonts w:ascii="Arial" w:hAnsi="Arial" w:cs="Arial"/>
                <w:sz w:val="21"/>
                <w:szCs w:val="21"/>
              </w:rPr>
              <w:t> </w:t>
            </w:r>
            <w:r w:rsidR="005D64F2" w:rsidRPr="0046244D">
              <w:rPr>
                <w:rFonts w:ascii="Arial" w:hAnsi="Arial" w:cs="Arial"/>
                <w:sz w:val="21"/>
                <w:szCs w:val="21"/>
              </w:rPr>
              <w:t>%.</w:t>
            </w:r>
            <w:r w:rsidRPr="0046244D">
              <w:rPr>
                <w:rFonts w:ascii="Arial" w:hAnsi="Arial" w:cs="Arial"/>
                <w:sz w:val="21"/>
                <w:szCs w:val="21"/>
              </w:rPr>
              <w:t xml:space="preserve"> V bežných cenách bol objem HDP medziročne vyšší o</w:t>
            </w:r>
            <w:r w:rsidR="001668E9" w:rsidRPr="0046244D">
              <w:rPr>
                <w:rFonts w:ascii="Arial" w:hAnsi="Arial" w:cs="Arial"/>
                <w:sz w:val="21"/>
                <w:szCs w:val="21"/>
              </w:rPr>
              <w:t> 5,</w:t>
            </w:r>
            <w:r w:rsidR="0046244D" w:rsidRPr="0046244D">
              <w:rPr>
                <w:rFonts w:ascii="Arial" w:hAnsi="Arial" w:cs="Arial"/>
                <w:sz w:val="21"/>
                <w:szCs w:val="21"/>
              </w:rPr>
              <w:t>9</w:t>
            </w:r>
            <w:r w:rsidR="00AA0FFE" w:rsidRPr="0046244D">
              <w:rPr>
                <w:rFonts w:ascii="Arial" w:hAnsi="Arial" w:cs="Arial"/>
                <w:sz w:val="21"/>
                <w:szCs w:val="21"/>
              </w:rPr>
              <w:t> </w:t>
            </w:r>
            <w:r w:rsidR="005B5E52" w:rsidRPr="0046244D">
              <w:rPr>
                <w:rFonts w:ascii="Arial" w:hAnsi="Arial" w:cs="Arial"/>
                <w:sz w:val="21"/>
                <w:szCs w:val="21"/>
              </w:rPr>
              <w:t>% a o</w:t>
            </w:r>
            <w:r w:rsidRPr="0046244D">
              <w:rPr>
                <w:rFonts w:ascii="Arial" w:hAnsi="Arial" w:cs="Arial"/>
                <w:sz w:val="21"/>
                <w:szCs w:val="21"/>
              </w:rPr>
              <w:t xml:space="preserve">proti </w:t>
            </w:r>
            <w:r w:rsidR="0046244D" w:rsidRPr="0046244D">
              <w:rPr>
                <w:rFonts w:ascii="Arial" w:hAnsi="Arial" w:cs="Arial"/>
                <w:sz w:val="21"/>
                <w:szCs w:val="21"/>
              </w:rPr>
              <w:t>3</w:t>
            </w:r>
            <w:r w:rsidR="00EE0E10" w:rsidRPr="0046244D">
              <w:rPr>
                <w:rFonts w:ascii="Arial" w:hAnsi="Arial" w:cs="Arial"/>
                <w:sz w:val="21"/>
                <w:szCs w:val="21"/>
              </w:rPr>
              <w:t>.</w:t>
            </w:r>
            <w:r w:rsidRPr="0046244D">
              <w:rPr>
                <w:rFonts w:ascii="Arial" w:hAnsi="Arial" w:cs="Arial"/>
                <w:sz w:val="21"/>
                <w:szCs w:val="21"/>
              </w:rPr>
              <w:t xml:space="preserve"> štvrťroku 202</w:t>
            </w:r>
            <w:r w:rsidR="001668E9" w:rsidRPr="0046244D">
              <w:rPr>
                <w:rFonts w:ascii="Arial" w:hAnsi="Arial" w:cs="Arial"/>
                <w:sz w:val="21"/>
                <w:szCs w:val="21"/>
              </w:rPr>
              <w:t>5</w:t>
            </w:r>
            <w:r w:rsidRPr="0046244D">
              <w:rPr>
                <w:rFonts w:ascii="Arial" w:hAnsi="Arial" w:cs="Arial"/>
                <w:sz w:val="21"/>
                <w:szCs w:val="21"/>
              </w:rPr>
              <w:t xml:space="preserve"> </w:t>
            </w:r>
            <w:r w:rsidR="009D17D0" w:rsidRPr="0046244D">
              <w:rPr>
                <w:rFonts w:ascii="Arial" w:hAnsi="Arial" w:cs="Arial"/>
                <w:sz w:val="21"/>
                <w:szCs w:val="21"/>
              </w:rPr>
              <w:t xml:space="preserve">sezónne upravená </w:t>
            </w:r>
            <w:r w:rsidRPr="0046244D">
              <w:rPr>
                <w:rFonts w:ascii="Arial" w:hAnsi="Arial" w:cs="Arial"/>
                <w:sz w:val="21"/>
                <w:szCs w:val="21"/>
              </w:rPr>
              <w:t>tvorba HDP reálne vzrástla o</w:t>
            </w:r>
            <w:r w:rsidR="00567BEB" w:rsidRPr="0046244D">
              <w:rPr>
                <w:rFonts w:ascii="Arial" w:hAnsi="Arial" w:cs="Arial"/>
                <w:sz w:val="21"/>
                <w:szCs w:val="21"/>
              </w:rPr>
              <w:t> 0,</w:t>
            </w:r>
            <w:r w:rsidR="00972C49" w:rsidRPr="0046244D">
              <w:rPr>
                <w:rFonts w:ascii="Arial" w:hAnsi="Arial" w:cs="Arial"/>
                <w:sz w:val="21"/>
                <w:szCs w:val="21"/>
              </w:rPr>
              <w:t>3</w:t>
            </w:r>
            <w:r w:rsidRPr="0046244D">
              <w:rPr>
                <w:rFonts w:ascii="Arial" w:hAnsi="Arial" w:cs="Arial"/>
                <w:sz w:val="21"/>
                <w:szCs w:val="21"/>
              </w:rPr>
              <w:t> %</w:t>
            </w:r>
            <w:r w:rsidR="00366A2D" w:rsidRPr="0046244D">
              <w:rPr>
                <w:rFonts w:ascii="Arial" w:hAnsi="Arial" w:cs="Arial"/>
                <w:sz w:val="21"/>
                <w:szCs w:val="21"/>
              </w:rPr>
              <w:t>.</w:t>
            </w:r>
            <w:r w:rsidR="000C4AAF" w:rsidRPr="0046244D">
              <w:rPr>
                <w:rStyle w:val="Odkaznapoznmkupodiarou"/>
                <w:rFonts w:ascii="Arial" w:hAnsi="Arial"/>
                <w:szCs w:val="16"/>
              </w:rPr>
              <w:footnoteReference w:id="2"/>
            </w:r>
            <w:r w:rsidR="000C4AAF" w:rsidRPr="0046244D">
              <w:rPr>
                <w:rStyle w:val="Odkaznapoznmkupodiarou"/>
                <w:rFonts w:ascii="Arial" w:hAnsi="Arial"/>
                <w:szCs w:val="16"/>
              </w:rPr>
              <w:t>)</w:t>
            </w:r>
          </w:p>
          <w:p w14:paraId="7F092603" w14:textId="77777777" w:rsidR="00FB3F88" w:rsidRPr="008B5BC4" w:rsidRDefault="00FB3F88" w:rsidP="009F4B5C">
            <w:pPr>
              <w:tabs>
                <w:tab w:val="left" w:pos="426"/>
              </w:tabs>
              <w:rPr>
                <w:rFonts w:ascii="Arial" w:hAnsi="Arial"/>
                <w:color w:val="EE0000"/>
                <w:sz w:val="10"/>
                <w:szCs w:val="10"/>
              </w:rPr>
            </w:pPr>
          </w:p>
          <w:p w14:paraId="1D043262" w14:textId="6A7BCF29" w:rsidR="000C4AAF" w:rsidRPr="008B5BC4" w:rsidRDefault="003413E6" w:rsidP="009F4B5C">
            <w:pPr>
              <w:tabs>
                <w:tab w:val="left" w:pos="426"/>
              </w:tabs>
              <w:ind w:firstLine="284"/>
              <w:rPr>
                <w:rFonts w:ascii="Arial" w:hAnsi="Arial" w:cs="Arial"/>
                <w:color w:val="EE0000"/>
                <w:sz w:val="21"/>
                <w:szCs w:val="21"/>
              </w:rPr>
            </w:pPr>
            <w:r w:rsidRPr="0046244D">
              <w:rPr>
                <w:rFonts w:ascii="Arial" w:hAnsi="Arial" w:cs="Arial"/>
                <w:spacing w:val="-2"/>
                <w:sz w:val="21"/>
                <w:szCs w:val="21"/>
              </w:rPr>
              <w:t>P</w:t>
            </w:r>
            <w:r w:rsidR="009423A6" w:rsidRPr="0046244D">
              <w:rPr>
                <w:rFonts w:ascii="Arial" w:hAnsi="Arial" w:cs="Arial"/>
                <w:spacing w:val="-2"/>
                <w:sz w:val="21"/>
                <w:szCs w:val="21"/>
              </w:rPr>
              <w:t>ridan</w:t>
            </w:r>
            <w:r w:rsidRPr="0046244D">
              <w:rPr>
                <w:rFonts w:ascii="Arial" w:hAnsi="Arial" w:cs="Arial"/>
                <w:spacing w:val="-2"/>
                <w:sz w:val="21"/>
                <w:szCs w:val="21"/>
              </w:rPr>
              <w:t>á</w:t>
            </w:r>
            <w:r w:rsidR="009423A6" w:rsidRPr="0046244D">
              <w:rPr>
                <w:rFonts w:ascii="Arial" w:hAnsi="Arial" w:cs="Arial"/>
                <w:spacing w:val="-2"/>
                <w:sz w:val="21"/>
                <w:szCs w:val="21"/>
              </w:rPr>
              <w:t xml:space="preserve"> </w:t>
            </w:r>
            <w:r w:rsidR="009423A6" w:rsidRPr="0046244D">
              <w:rPr>
                <w:rFonts w:ascii="Arial" w:hAnsi="Arial" w:cs="Arial"/>
                <w:sz w:val="21"/>
                <w:szCs w:val="21"/>
              </w:rPr>
              <w:t>hodnot</w:t>
            </w:r>
            <w:r w:rsidRPr="0046244D">
              <w:rPr>
                <w:rFonts w:ascii="Arial" w:hAnsi="Arial" w:cs="Arial"/>
                <w:sz w:val="21"/>
                <w:szCs w:val="21"/>
              </w:rPr>
              <w:t xml:space="preserve">a </w:t>
            </w:r>
            <w:r w:rsidR="0046244D" w:rsidRPr="0046244D">
              <w:rPr>
                <w:rFonts w:ascii="Arial" w:hAnsi="Arial" w:cs="Arial"/>
                <w:sz w:val="21"/>
                <w:szCs w:val="21"/>
              </w:rPr>
              <w:t>vz</w:t>
            </w:r>
            <w:r w:rsidRPr="0046244D">
              <w:rPr>
                <w:rFonts w:ascii="Arial" w:hAnsi="Arial" w:cs="Arial"/>
                <w:sz w:val="21"/>
                <w:szCs w:val="21"/>
              </w:rPr>
              <w:t xml:space="preserve">rástla len </w:t>
            </w:r>
            <w:r w:rsidR="0046244D" w:rsidRPr="0046244D">
              <w:rPr>
                <w:rFonts w:ascii="Arial" w:hAnsi="Arial" w:cs="Arial"/>
                <w:sz w:val="21"/>
                <w:szCs w:val="21"/>
              </w:rPr>
              <w:t>nepatrne</w:t>
            </w:r>
            <w:r w:rsidRPr="0046244D">
              <w:rPr>
                <w:rFonts w:ascii="Arial" w:hAnsi="Arial" w:cs="Arial"/>
                <w:sz w:val="21"/>
                <w:szCs w:val="21"/>
              </w:rPr>
              <w:t>.</w:t>
            </w:r>
            <w:r w:rsidR="009423A6" w:rsidRPr="0046244D">
              <w:rPr>
                <w:rFonts w:ascii="Arial" w:hAnsi="Arial" w:cs="Arial"/>
                <w:sz w:val="21"/>
                <w:szCs w:val="21"/>
              </w:rPr>
              <w:t xml:space="preserve"> </w:t>
            </w:r>
            <w:r w:rsidRPr="0046244D">
              <w:rPr>
                <w:rFonts w:ascii="Arial" w:hAnsi="Arial" w:cs="Arial"/>
                <w:sz w:val="21"/>
                <w:szCs w:val="21"/>
              </w:rPr>
              <w:t>Vyššie výkony</w:t>
            </w:r>
            <w:r w:rsidR="009423A6" w:rsidRPr="0046244D">
              <w:rPr>
                <w:rFonts w:ascii="Arial" w:hAnsi="Arial" w:cs="Arial"/>
                <w:sz w:val="21"/>
                <w:szCs w:val="21"/>
              </w:rPr>
              <w:t xml:space="preserve"> </w:t>
            </w:r>
            <w:r w:rsidRPr="0046244D">
              <w:rPr>
                <w:rFonts w:ascii="Arial" w:hAnsi="Arial" w:cs="Arial"/>
                <w:sz w:val="21"/>
                <w:szCs w:val="21"/>
              </w:rPr>
              <w:t>evidoval</w:t>
            </w:r>
            <w:r w:rsidR="009423A6" w:rsidRPr="0046244D">
              <w:rPr>
                <w:rFonts w:ascii="Arial" w:hAnsi="Arial" w:cs="Arial"/>
                <w:sz w:val="21"/>
                <w:szCs w:val="21"/>
              </w:rPr>
              <w:t xml:space="preserve"> </w:t>
            </w:r>
            <w:r w:rsidRPr="0046244D">
              <w:rPr>
                <w:rFonts w:ascii="Arial" w:hAnsi="Arial" w:cs="Arial"/>
                <w:sz w:val="21"/>
                <w:szCs w:val="21"/>
              </w:rPr>
              <w:t>p</w:t>
            </w:r>
            <w:r w:rsidR="005569C7" w:rsidRPr="0046244D">
              <w:rPr>
                <w:rFonts w:ascii="Arial" w:hAnsi="Arial" w:cs="Arial"/>
                <w:sz w:val="21"/>
                <w:szCs w:val="21"/>
              </w:rPr>
              <w:t>riemys</w:t>
            </w:r>
            <w:r w:rsidRPr="0046244D">
              <w:rPr>
                <w:rFonts w:ascii="Arial" w:hAnsi="Arial" w:cs="Arial"/>
                <w:sz w:val="21"/>
                <w:szCs w:val="21"/>
              </w:rPr>
              <w:t>el,</w:t>
            </w:r>
            <w:r w:rsidR="005569C7" w:rsidRPr="0046244D">
              <w:rPr>
                <w:rFonts w:ascii="Arial" w:hAnsi="Arial" w:cs="Arial"/>
                <w:sz w:val="21"/>
                <w:szCs w:val="21"/>
              </w:rPr>
              <w:t xml:space="preserve"> </w:t>
            </w:r>
            <w:r w:rsidR="0046244D" w:rsidRPr="0046244D">
              <w:rPr>
                <w:rFonts w:ascii="Arial" w:hAnsi="Arial" w:cs="Arial"/>
                <w:sz w:val="21"/>
                <w:szCs w:val="21"/>
              </w:rPr>
              <w:t>informácie a komunikácia</w:t>
            </w:r>
            <w:r w:rsidRPr="0046244D">
              <w:rPr>
                <w:rFonts w:ascii="Arial" w:hAnsi="Arial" w:cs="Arial"/>
                <w:sz w:val="21"/>
                <w:szCs w:val="21"/>
              </w:rPr>
              <w:t xml:space="preserve"> aj verejná správa, naopak pokles </w:t>
            </w:r>
            <w:r w:rsidR="0046244D" w:rsidRPr="0046244D">
              <w:rPr>
                <w:rFonts w:ascii="Arial" w:hAnsi="Arial" w:cs="Arial"/>
                <w:sz w:val="21"/>
                <w:szCs w:val="21"/>
              </w:rPr>
              <w:t xml:space="preserve">obchod, </w:t>
            </w:r>
            <w:r w:rsidRPr="0046244D">
              <w:rPr>
                <w:rFonts w:ascii="Arial" w:hAnsi="Arial" w:cs="Arial"/>
                <w:sz w:val="21"/>
                <w:szCs w:val="21"/>
              </w:rPr>
              <w:t>činnosti v oblasti nehnuteľností a stavebníctvo.</w:t>
            </w:r>
            <w:r w:rsidR="001668E9" w:rsidRPr="0046244D">
              <w:rPr>
                <w:rFonts w:ascii="Arial" w:hAnsi="Arial" w:cs="Arial"/>
                <w:sz w:val="21"/>
                <w:szCs w:val="21"/>
              </w:rPr>
              <w:t xml:space="preserve"> </w:t>
            </w:r>
            <w:bookmarkStart w:id="8" w:name="_Hlk184890059"/>
            <w:r w:rsidR="00A93F85" w:rsidRPr="0046244D">
              <w:rPr>
                <w:rFonts w:ascii="Arial" w:hAnsi="Arial" w:cs="Arial"/>
                <w:sz w:val="21"/>
                <w:szCs w:val="21"/>
              </w:rPr>
              <w:t xml:space="preserve">Objem čistých daní z produktov zaznamenal medziročný </w:t>
            </w:r>
            <w:r w:rsidR="001A5C45" w:rsidRPr="0046244D">
              <w:rPr>
                <w:rFonts w:ascii="Arial" w:hAnsi="Arial" w:cs="Arial"/>
                <w:sz w:val="21"/>
                <w:szCs w:val="21"/>
              </w:rPr>
              <w:t>rast</w:t>
            </w:r>
            <w:r w:rsidR="00A93F85" w:rsidRPr="0046244D">
              <w:rPr>
                <w:rFonts w:ascii="Arial" w:hAnsi="Arial" w:cs="Arial"/>
                <w:sz w:val="21"/>
                <w:szCs w:val="21"/>
              </w:rPr>
              <w:t>.</w:t>
            </w:r>
            <w:bookmarkEnd w:id="8"/>
            <w:r w:rsidR="000C4AAF" w:rsidRPr="008B5BC4">
              <w:rPr>
                <w:rFonts w:ascii="Arial" w:hAnsi="Arial" w:cs="Arial"/>
                <w:color w:val="EE0000"/>
                <w:sz w:val="21"/>
                <w:szCs w:val="21"/>
              </w:rPr>
              <w:t xml:space="preserve"> </w:t>
            </w:r>
          </w:p>
          <w:p w14:paraId="450DA5A7" w14:textId="77777777" w:rsidR="007025CC" w:rsidRPr="008B5BC4" w:rsidRDefault="007025CC" w:rsidP="009F4B5C">
            <w:pPr>
              <w:tabs>
                <w:tab w:val="left" w:pos="426"/>
              </w:tabs>
              <w:rPr>
                <w:rFonts w:ascii="Arial" w:hAnsi="Arial"/>
                <w:color w:val="EE0000"/>
                <w:sz w:val="10"/>
                <w:szCs w:val="10"/>
              </w:rPr>
            </w:pPr>
          </w:p>
          <w:p w14:paraId="3798DF85" w14:textId="03DC564E" w:rsidR="006B3C8F" w:rsidRPr="00FC03C6" w:rsidRDefault="00DD479B" w:rsidP="009F4B5C">
            <w:pPr>
              <w:tabs>
                <w:tab w:val="left" w:pos="426"/>
              </w:tabs>
              <w:rPr>
                <w:rFonts w:ascii="Arial" w:hAnsi="Arial" w:cs="Arial"/>
                <w:sz w:val="21"/>
                <w:szCs w:val="21"/>
              </w:rPr>
            </w:pPr>
            <w:r w:rsidRPr="008B5BC4">
              <w:rPr>
                <w:rFonts w:ascii="Arial" w:hAnsi="Arial" w:cs="Arial"/>
                <w:color w:val="EE0000"/>
                <w:sz w:val="21"/>
                <w:szCs w:val="21"/>
              </w:rPr>
              <w:t xml:space="preserve">  </w:t>
            </w:r>
            <w:r w:rsidR="009423A6" w:rsidRPr="008B5BC4">
              <w:rPr>
                <w:rFonts w:ascii="Arial" w:hAnsi="Arial" w:cs="Arial"/>
                <w:color w:val="EE0000"/>
                <w:sz w:val="21"/>
                <w:szCs w:val="21"/>
              </w:rPr>
              <w:t xml:space="preserve"> </w:t>
            </w:r>
            <w:r w:rsidR="003413E6" w:rsidRPr="00FC03C6">
              <w:rPr>
                <w:rFonts w:ascii="Arial" w:hAnsi="Arial" w:cs="Arial"/>
                <w:sz w:val="21"/>
                <w:szCs w:val="21"/>
              </w:rPr>
              <w:t>R</w:t>
            </w:r>
            <w:r w:rsidR="002243B3" w:rsidRPr="00FC03C6">
              <w:rPr>
                <w:rFonts w:ascii="Arial" w:hAnsi="Arial" w:cs="Arial"/>
                <w:sz w:val="21"/>
                <w:szCs w:val="21"/>
              </w:rPr>
              <w:t xml:space="preserve">ast HDP </w:t>
            </w:r>
            <w:r w:rsidR="003413E6" w:rsidRPr="00FC03C6">
              <w:rPr>
                <w:rFonts w:ascii="Arial" w:hAnsi="Arial" w:cs="Arial"/>
                <w:sz w:val="21"/>
                <w:szCs w:val="21"/>
              </w:rPr>
              <w:t>ovplyvnili hlavne vyššie investície a zahraničný obchod</w:t>
            </w:r>
            <w:r w:rsidR="00FC03C6" w:rsidRPr="00FC03C6">
              <w:rPr>
                <w:rFonts w:ascii="Arial" w:hAnsi="Arial" w:cs="Arial"/>
                <w:sz w:val="21"/>
                <w:szCs w:val="21"/>
              </w:rPr>
              <w:t>.</w:t>
            </w:r>
            <w:r w:rsidR="003413E6" w:rsidRPr="00FC03C6">
              <w:rPr>
                <w:rFonts w:ascii="Arial" w:hAnsi="Arial" w:cs="Arial"/>
                <w:sz w:val="21"/>
                <w:szCs w:val="21"/>
              </w:rPr>
              <w:t xml:space="preserve"> </w:t>
            </w:r>
            <w:r w:rsidR="00FC03C6" w:rsidRPr="00FC03C6">
              <w:rPr>
                <w:rFonts w:ascii="Arial" w:hAnsi="Arial" w:cs="Arial"/>
                <w:sz w:val="21"/>
                <w:szCs w:val="21"/>
              </w:rPr>
              <w:t>Spotreba</w:t>
            </w:r>
            <w:r w:rsidR="002243B3" w:rsidRPr="00FC03C6">
              <w:rPr>
                <w:rFonts w:ascii="Arial" w:hAnsi="Arial" w:cs="Arial"/>
                <w:sz w:val="21"/>
                <w:szCs w:val="21"/>
              </w:rPr>
              <w:t xml:space="preserve"> verejn</w:t>
            </w:r>
            <w:r w:rsidR="003413E6" w:rsidRPr="00FC03C6">
              <w:rPr>
                <w:rFonts w:ascii="Arial" w:hAnsi="Arial" w:cs="Arial"/>
                <w:sz w:val="21"/>
                <w:szCs w:val="21"/>
              </w:rPr>
              <w:t>ého</w:t>
            </w:r>
            <w:r w:rsidR="002243B3" w:rsidRPr="00FC03C6">
              <w:rPr>
                <w:rFonts w:ascii="Arial" w:hAnsi="Arial" w:cs="Arial"/>
                <w:sz w:val="21"/>
                <w:szCs w:val="21"/>
              </w:rPr>
              <w:t xml:space="preserve"> sektor</w:t>
            </w:r>
            <w:r w:rsidR="003413E6" w:rsidRPr="00FC03C6">
              <w:rPr>
                <w:rFonts w:ascii="Arial" w:hAnsi="Arial" w:cs="Arial"/>
                <w:sz w:val="21"/>
                <w:szCs w:val="21"/>
              </w:rPr>
              <w:t xml:space="preserve">a ešte </w:t>
            </w:r>
            <w:r w:rsidR="00FC03C6" w:rsidRPr="00FC03C6">
              <w:rPr>
                <w:rFonts w:ascii="Arial" w:hAnsi="Arial" w:cs="Arial"/>
                <w:sz w:val="21"/>
                <w:szCs w:val="21"/>
              </w:rPr>
              <w:t xml:space="preserve">mierne </w:t>
            </w:r>
            <w:r w:rsidR="003413E6" w:rsidRPr="00FC03C6">
              <w:rPr>
                <w:rFonts w:ascii="Arial" w:hAnsi="Arial" w:cs="Arial"/>
                <w:sz w:val="21"/>
                <w:szCs w:val="21"/>
              </w:rPr>
              <w:t>rástla</w:t>
            </w:r>
            <w:r w:rsidR="002243B3" w:rsidRPr="00FC03C6">
              <w:rPr>
                <w:rFonts w:ascii="Arial" w:hAnsi="Arial" w:cs="Arial"/>
                <w:sz w:val="21"/>
                <w:szCs w:val="21"/>
              </w:rPr>
              <w:t xml:space="preserve">, </w:t>
            </w:r>
            <w:r w:rsidR="00FC03C6" w:rsidRPr="00FC03C6">
              <w:rPr>
                <w:rFonts w:ascii="Arial" w:hAnsi="Arial" w:cs="Arial"/>
                <w:sz w:val="21"/>
                <w:szCs w:val="21"/>
              </w:rPr>
              <w:t>spotreba domácností už zaznamenala pokles</w:t>
            </w:r>
            <w:r w:rsidR="0050560F" w:rsidRPr="00FC03C6">
              <w:rPr>
                <w:rFonts w:ascii="Arial" w:hAnsi="Arial" w:cs="Arial"/>
                <w:sz w:val="21"/>
                <w:szCs w:val="21"/>
              </w:rPr>
              <w:t>.</w:t>
            </w:r>
            <w:r w:rsidR="002243B3" w:rsidRPr="00FC03C6">
              <w:rPr>
                <w:rFonts w:ascii="Arial" w:hAnsi="Arial" w:cs="Arial"/>
                <w:sz w:val="21"/>
                <w:szCs w:val="21"/>
              </w:rPr>
              <w:t xml:space="preserve"> </w:t>
            </w:r>
          </w:p>
          <w:p w14:paraId="7EC3C1B6" w14:textId="12C9A1BE" w:rsidR="006B3C8F" w:rsidRPr="008B5BC4" w:rsidRDefault="00DD479B" w:rsidP="009F4B5C">
            <w:pPr>
              <w:pStyle w:val="BodyText224"/>
              <w:tabs>
                <w:tab w:val="left" w:pos="426"/>
              </w:tabs>
              <w:rPr>
                <w:rFonts w:ascii="Arial" w:hAnsi="Arial"/>
                <w:color w:val="EE0000"/>
                <w:sz w:val="10"/>
                <w:szCs w:val="10"/>
              </w:rPr>
            </w:pPr>
            <w:r w:rsidRPr="008B5BC4">
              <w:rPr>
                <w:rFonts w:ascii="Arial" w:hAnsi="Arial"/>
                <w:color w:val="EE0000"/>
                <w:szCs w:val="21"/>
              </w:rPr>
              <w:t xml:space="preserve"> </w:t>
            </w:r>
            <w:r w:rsidR="006B3C8F" w:rsidRPr="008B5BC4">
              <w:rPr>
                <w:rFonts w:ascii="Arial" w:hAnsi="Arial"/>
                <w:color w:val="EE0000"/>
                <w:szCs w:val="21"/>
              </w:rPr>
              <w:t xml:space="preserve"> </w:t>
            </w:r>
          </w:p>
          <w:p w14:paraId="36EB5F80" w14:textId="645E3B46" w:rsidR="006B3C8F" w:rsidRPr="008B5BC4" w:rsidRDefault="00DD479B" w:rsidP="009F4B5C">
            <w:pPr>
              <w:tabs>
                <w:tab w:val="left" w:pos="426"/>
              </w:tabs>
              <w:rPr>
                <w:rFonts w:ascii="Arial" w:hAnsi="Arial" w:cs="Arial"/>
                <w:color w:val="EE0000"/>
                <w:sz w:val="21"/>
                <w:szCs w:val="21"/>
              </w:rPr>
            </w:pPr>
            <w:r w:rsidRPr="008B5BC4">
              <w:rPr>
                <w:rFonts w:ascii="Arial" w:hAnsi="Arial"/>
                <w:color w:val="EE0000"/>
                <w:szCs w:val="21"/>
              </w:rPr>
              <w:t xml:space="preserve">  </w:t>
            </w:r>
            <w:r w:rsidR="006B3C8F" w:rsidRPr="008B5BC4">
              <w:rPr>
                <w:rFonts w:ascii="Arial" w:hAnsi="Arial"/>
                <w:color w:val="EE0000"/>
                <w:szCs w:val="21"/>
              </w:rPr>
              <w:t xml:space="preserve"> </w:t>
            </w:r>
            <w:r w:rsidR="009423A6" w:rsidRPr="00FC03C6">
              <w:rPr>
                <w:rFonts w:ascii="Arial" w:hAnsi="Arial" w:cs="Arial"/>
                <w:sz w:val="21"/>
                <w:szCs w:val="21"/>
              </w:rPr>
              <w:t>Podľa dôchodkovej metódy odmeny zamestnancov</w:t>
            </w:r>
            <w:r w:rsidR="0050560F" w:rsidRPr="00FC03C6">
              <w:rPr>
                <w:rFonts w:ascii="Arial" w:hAnsi="Arial" w:cs="Arial"/>
                <w:sz w:val="21"/>
                <w:szCs w:val="21"/>
              </w:rPr>
              <w:t xml:space="preserve"> rástli</w:t>
            </w:r>
            <w:r w:rsidR="009423A6" w:rsidRPr="00FC03C6">
              <w:rPr>
                <w:rFonts w:ascii="Arial" w:hAnsi="Arial" w:cs="Arial"/>
                <w:sz w:val="21"/>
                <w:szCs w:val="21"/>
              </w:rPr>
              <w:t xml:space="preserve">, </w:t>
            </w:r>
            <w:r w:rsidR="00286F4A" w:rsidRPr="00FC03C6">
              <w:rPr>
                <w:rFonts w:ascii="Arial" w:hAnsi="Arial" w:cs="Arial"/>
                <w:sz w:val="21"/>
                <w:szCs w:val="21"/>
              </w:rPr>
              <w:t xml:space="preserve">rovnako aj </w:t>
            </w:r>
            <w:r w:rsidR="009423A6" w:rsidRPr="00FC03C6">
              <w:rPr>
                <w:rFonts w:ascii="Arial" w:hAnsi="Arial" w:cs="Arial"/>
                <w:sz w:val="21"/>
                <w:szCs w:val="21"/>
              </w:rPr>
              <w:t>hrubý prevádzko</w:t>
            </w:r>
            <w:r w:rsidR="006B64FE" w:rsidRPr="00FC03C6">
              <w:rPr>
                <w:rFonts w:ascii="Arial" w:hAnsi="Arial" w:cs="Arial"/>
                <w:sz w:val="21"/>
                <w:szCs w:val="21"/>
              </w:rPr>
              <w:t>vý prebytok a zmiešané dôchodky</w:t>
            </w:r>
            <w:r w:rsidR="002243B3" w:rsidRPr="00FC03C6">
              <w:rPr>
                <w:rFonts w:ascii="Arial" w:hAnsi="Arial" w:cs="Arial"/>
                <w:sz w:val="21"/>
                <w:szCs w:val="21"/>
              </w:rPr>
              <w:t>.</w:t>
            </w:r>
            <w:r w:rsidR="006B64FE" w:rsidRPr="00FC03C6">
              <w:rPr>
                <w:rFonts w:ascii="Arial" w:hAnsi="Arial" w:cs="Arial"/>
                <w:sz w:val="21"/>
                <w:szCs w:val="21"/>
              </w:rPr>
              <w:t xml:space="preserve"> </w:t>
            </w:r>
            <w:r w:rsidR="009A1D0D" w:rsidRPr="00FC03C6">
              <w:rPr>
                <w:rFonts w:ascii="Arial" w:hAnsi="Arial" w:cs="Arial"/>
                <w:sz w:val="21"/>
                <w:szCs w:val="21"/>
              </w:rPr>
              <w:t>Medziročne v</w:t>
            </w:r>
            <w:r w:rsidR="00286F4A" w:rsidRPr="00FC03C6">
              <w:rPr>
                <w:rFonts w:ascii="Arial" w:hAnsi="Arial" w:cs="Arial"/>
                <w:sz w:val="21"/>
                <w:szCs w:val="21"/>
              </w:rPr>
              <w:t>yšší bol o</w:t>
            </w:r>
            <w:r w:rsidR="002243B3" w:rsidRPr="00FC03C6">
              <w:rPr>
                <w:rFonts w:ascii="Arial" w:hAnsi="Arial" w:cs="Arial"/>
                <w:sz w:val="21"/>
                <w:szCs w:val="21"/>
              </w:rPr>
              <w:t xml:space="preserve">bjem </w:t>
            </w:r>
            <w:r w:rsidR="009423A6" w:rsidRPr="00FC03C6">
              <w:rPr>
                <w:rFonts w:ascii="Arial" w:hAnsi="Arial" w:cs="Arial"/>
                <w:sz w:val="21"/>
                <w:szCs w:val="21"/>
              </w:rPr>
              <w:t>vybran</w:t>
            </w:r>
            <w:r w:rsidR="002243B3" w:rsidRPr="00FC03C6">
              <w:rPr>
                <w:rFonts w:ascii="Arial" w:hAnsi="Arial" w:cs="Arial"/>
                <w:sz w:val="21"/>
                <w:szCs w:val="21"/>
              </w:rPr>
              <w:t>ých</w:t>
            </w:r>
            <w:r w:rsidR="009423A6" w:rsidRPr="00FC03C6">
              <w:rPr>
                <w:rFonts w:ascii="Arial" w:hAnsi="Arial" w:cs="Arial"/>
                <w:sz w:val="21"/>
                <w:szCs w:val="21"/>
              </w:rPr>
              <w:t xml:space="preserve"> dan</w:t>
            </w:r>
            <w:r w:rsidR="002243B3" w:rsidRPr="00FC03C6">
              <w:rPr>
                <w:rFonts w:ascii="Arial" w:hAnsi="Arial" w:cs="Arial"/>
                <w:sz w:val="21"/>
                <w:szCs w:val="21"/>
              </w:rPr>
              <w:t>í</w:t>
            </w:r>
            <w:r w:rsidR="009423A6" w:rsidRPr="00FC03C6">
              <w:rPr>
                <w:rFonts w:ascii="Arial" w:hAnsi="Arial" w:cs="Arial"/>
                <w:sz w:val="21"/>
                <w:szCs w:val="21"/>
              </w:rPr>
              <w:t xml:space="preserve"> z produkcie a</w:t>
            </w:r>
            <w:r w:rsidR="00286F4A" w:rsidRPr="00FC03C6">
              <w:rPr>
                <w:rFonts w:ascii="Arial" w:hAnsi="Arial" w:cs="Arial"/>
                <w:sz w:val="21"/>
                <w:szCs w:val="21"/>
              </w:rPr>
              <w:t> </w:t>
            </w:r>
            <w:r w:rsidR="009423A6" w:rsidRPr="00FC03C6">
              <w:rPr>
                <w:rFonts w:ascii="Arial" w:hAnsi="Arial" w:cs="Arial"/>
                <w:sz w:val="21"/>
                <w:szCs w:val="21"/>
              </w:rPr>
              <w:t>dovozu</w:t>
            </w:r>
            <w:r w:rsidR="00286F4A" w:rsidRPr="00FC03C6">
              <w:rPr>
                <w:rFonts w:ascii="Arial" w:hAnsi="Arial" w:cs="Arial"/>
                <w:sz w:val="21"/>
                <w:szCs w:val="21"/>
              </w:rPr>
              <w:t>,</w:t>
            </w:r>
            <w:r w:rsidR="0050560F" w:rsidRPr="00FC03C6">
              <w:rPr>
                <w:rFonts w:ascii="Arial" w:hAnsi="Arial" w:cs="Arial"/>
                <w:sz w:val="21"/>
                <w:szCs w:val="21"/>
              </w:rPr>
              <w:t xml:space="preserve"> </w:t>
            </w:r>
            <w:r w:rsidR="002243B3" w:rsidRPr="00FC03C6">
              <w:rPr>
                <w:rFonts w:ascii="Arial" w:hAnsi="Arial" w:cs="Arial"/>
                <w:sz w:val="21"/>
                <w:szCs w:val="21"/>
              </w:rPr>
              <w:t>h</w:t>
            </w:r>
            <w:r w:rsidR="009423A6" w:rsidRPr="00FC03C6">
              <w:rPr>
                <w:rFonts w:ascii="Arial" w:hAnsi="Arial" w:cs="Arial"/>
                <w:sz w:val="21"/>
                <w:szCs w:val="21"/>
              </w:rPr>
              <w:t>odnota subvencií</w:t>
            </w:r>
            <w:r w:rsidR="00FC03C6" w:rsidRPr="00FC03C6">
              <w:rPr>
                <w:rFonts w:ascii="Arial" w:hAnsi="Arial" w:cs="Arial"/>
                <w:sz w:val="21"/>
                <w:szCs w:val="21"/>
              </w:rPr>
              <w:t xml:space="preserve"> však klesla</w:t>
            </w:r>
            <w:r w:rsidR="009A1D0D" w:rsidRPr="00FC03C6">
              <w:rPr>
                <w:rFonts w:ascii="Arial" w:hAnsi="Arial" w:cs="Arial"/>
                <w:sz w:val="21"/>
                <w:szCs w:val="21"/>
              </w:rPr>
              <w:t>.</w:t>
            </w:r>
            <w:r w:rsidR="002243B3" w:rsidRPr="008B5BC4">
              <w:rPr>
                <w:rFonts w:ascii="Arial" w:hAnsi="Arial" w:cs="Arial"/>
                <w:color w:val="EE0000"/>
                <w:sz w:val="21"/>
                <w:szCs w:val="21"/>
              </w:rPr>
              <w:t xml:space="preserve"> </w:t>
            </w:r>
          </w:p>
          <w:p w14:paraId="7EBB790E" w14:textId="77777777" w:rsidR="009249B3" w:rsidRPr="00FC03C6" w:rsidRDefault="009249B3" w:rsidP="009F4B5C">
            <w:pPr>
              <w:tabs>
                <w:tab w:val="left" w:pos="426"/>
              </w:tabs>
              <w:rPr>
                <w:rFonts w:ascii="Arial" w:hAnsi="Arial"/>
                <w:sz w:val="10"/>
                <w:szCs w:val="10"/>
              </w:rPr>
            </w:pPr>
          </w:p>
          <w:p w14:paraId="791FF9D4" w14:textId="7BB74F1B" w:rsidR="000501CA" w:rsidRPr="008B5BC4" w:rsidRDefault="000501CA" w:rsidP="009F4B5C">
            <w:pPr>
              <w:tabs>
                <w:tab w:val="left" w:pos="426"/>
              </w:tabs>
              <w:ind w:firstLine="284"/>
              <w:rPr>
                <w:rFonts w:ascii="Arial" w:hAnsi="Arial"/>
                <w:color w:val="EE0000"/>
                <w:sz w:val="21"/>
              </w:rPr>
            </w:pPr>
            <w:r w:rsidRPr="00FC03C6">
              <w:rPr>
                <w:rFonts w:ascii="Arial" w:hAnsi="Arial"/>
                <w:sz w:val="21"/>
              </w:rPr>
              <w:t>Produktivita práce podľa metodiky národných účtov</w:t>
            </w:r>
            <w:r w:rsidRPr="00FC03C6">
              <w:rPr>
                <w:rStyle w:val="Odkaznapoznmkupodiarou"/>
                <w:rFonts w:ascii="Arial" w:hAnsi="Arial"/>
              </w:rPr>
              <w:footnoteReference w:id="3"/>
            </w:r>
            <w:r w:rsidRPr="00FC03C6">
              <w:rPr>
                <w:rStyle w:val="Odkaznapoznmkupodiarou"/>
                <w:rFonts w:ascii="Arial" w:hAnsi="Arial"/>
              </w:rPr>
              <w:t>)</w:t>
            </w:r>
            <w:r w:rsidRPr="00FC03C6">
              <w:t xml:space="preserve"> </w:t>
            </w:r>
            <w:r w:rsidRPr="00FC03C6">
              <w:rPr>
                <w:rFonts w:ascii="Arial" w:hAnsi="Arial" w:cs="Arial"/>
                <w:sz w:val="21"/>
                <w:szCs w:val="21"/>
              </w:rPr>
              <w:t xml:space="preserve">sa medziročne </w:t>
            </w:r>
            <w:r w:rsidR="0092243D" w:rsidRPr="00FC03C6">
              <w:rPr>
                <w:rFonts w:ascii="Arial" w:hAnsi="Arial" w:cs="Arial"/>
                <w:sz w:val="21"/>
                <w:szCs w:val="21"/>
              </w:rPr>
              <w:t>z</w:t>
            </w:r>
            <w:r w:rsidR="002B7025" w:rsidRPr="00FC03C6">
              <w:rPr>
                <w:rFonts w:ascii="Arial" w:hAnsi="Arial" w:cs="Arial"/>
                <w:sz w:val="21"/>
                <w:szCs w:val="21"/>
              </w:rPr>
              <w:t>výšila</w:t>
            </w:r>
            <w:r w:rsidRPr="00FC03C6">
              <w:rPr>
                <w:rFonts w:ascii="Arial" w:hAnsi="Arial" w:cs="Arial"/>
                <w:sz w:val="21"/>
                <w:szCs w:val="21"/>
              </w:rPr>
              <w:t xml:space="preserve"> o</w:t>
            </w:r>
            <w:r w:rsidR="00E761C6" w:rsidRPr="00FC03C6">
              <w:rPr>
                <w:rFonts w:ascii="Arial" w:hAnsi="Arial" w:cs="Arial"/>
                <w:sz w:val="21"/>
                <w:szCs w:val="21"/>
              </w:rPr>
              <w:t> 1,</w:t>
            </w:r>
            <w:r w:rsidR="00FC03C6">
              <w:rPr>
                <w:rFonts w:ascii="Arial" w:hAnsi="Arial" w:cs="Arial"/>
                <w:sz w:val="21"/>
                <w:szCs w:val="21"/>
              </w:rPr>
              <w:t>2</w:t>
            </w:r>
            <w:r w:rsidR="001A5C45" w:rsidRPr="00FC03C6">
              <w:rPr>
                <w:rFonts w:ascii="Arial" w:hAnsi="Arial" w:cs="Arial"/>
                <w:sz w:val="21"/>
                <w:szCs w:val="21"/>
              </w:rPr>
              <w:t> </w:t>
            </w:r>
            <w:r w:rsidRPr="00FC03C6">
              <w:rPr>
                <w:rFonts w:ascii="Arial" w:hAnsi="Arial" w:cs="Arial"/>
                <w:sz w:val="21"/>
                <w:szCs w:val="21"/>
              </w:rPr>
              <w:t>%</w:t>
            </w:r>
            <w:r w:rsidRPr="00FC03C6">
              <w:rPr>
                <w:rFonts w:ascii="Arial" w:hAnsi="Arial"/>
                <w:sz w:val="21"/>
              </w:rPr>
              <w:t>.</w:t>
            </w:r>
            <w:r w:rsidRPr="008B5BC4">
              <w:rPr>
                <w:rFonts w:ascii="Arial" w:hAnsi="Arial"/>
                <w:color w:val="EE0000"/>
                <w:sz w:val="21"/>
              </w:rPr>
              <w:t xml:space="preserve"> </w:t>
            </w:r>
          </w:p>
          <w:p w14:paraId="6A6A035F" w14:textId="77777777" w:rsidR="00701329" w:rsidRPr="008B5BC4" w:rsidRDefault="00701329" w:rsidP="009F4B5C">
            <w:pPr>
              <w:tabs>
                <w:tab w:val="left" w:pos="426"/>
              </w:tabs>
              <w:ind w:firstLine="284"/>
              <w:rPr>
                <w:rFonts w:ascii="Arial" w:hAnsi="Arial"/>
                <w:color w:val="EE0000"/>
                <w:sz w:val="10"/>
                <w:szCs w:val="10"/>
              </w:rPr>
            </w:pPr>
          </w:p>
          <w:p w14:paraId="5AC04202" w14:textId="0954B0DF" w:rsidR="00996B3F" w:rsidRPr="00FC03C6" w:rsidRDefault="00FC03C6" w:rsidP="00701329">
            <w:pPr>
              <w:tabs>
                <w:tab w:val="left" w:pos="426"/>
              </w:tabs>
              <w:ind w:firstLine="284"/>
              <w:rPr>
                <w:rFonts w:ascii="Arial" w:hAnsi="Arial"/>
                <w:sz w:val="21"/>
              </w:rPr>
            </w:pPr>
            <w:r w:rsidRPr="00FC03C6">
              <w:rPr>
                <w:rFonts w:ascii="Arial" w:hAnsi="Arial"/>
                <w:sz w:val="21"/>
              </w:rPr>
              <w:t xml:space="preserve">V roku 2025 </w:t>
            </w:r>
            <w:r w:rsidR="00701329" w:rsidRPr="00FC03C6">
              <w:rPr>
                <w:rFonts w:ascii="Arial" w:hAnsi="Arial"/>
                <w:sz w:val="21"/>
              </w:rPr>
              <w:t>vzrástol HDP medziročne v stálych cenách o</w:t>
            </w:r>
            <w:r w:rsidR="00DB5160" w:rsidRPr="00FC03C6">
              <w:rPr>
                <w:rFonts w:ascii="Arial" w:hAnsi="Arial"/>
                <w:sz w:val="21"/>
              </w:rPr>
              <w:t> 0,</w:t>
            </w:r>
            <w:r w:rsidRPr="00FC03C6">
              <w:rPr>
                <w:rFonts w:ascii="Arial" w:hAnsi="Arial"/>
                <w:sz w:val="21"/>
              </w:rPr>
              <w:t>8</w:t>
            </w:r>
            <w:r w:rsidR="00701329" w:rsidRPr="00FC03C6">
              <w:rPr>
                <w:rFonts w:ascii="Arial" w:hAnsi="Arial"/>
                <w:sz w:val="21"/>
              </w:rPr>
              <w:t> %, v bežných cenách bol vyšší o</w:t>
            </w:r>
            <w:r w:rsidR="00DB5160" w:rsidRPr="00FC03C6">
              <w:rPr>
                <w:rFonts w:ascii="Arial" w:hAnsi="Arial"/>
                <w:sz w:val="21"/>
              </w:rPr>
              <w:t> </w:t>
            </w:r>
            <w:r w:rsidRPr="00FC03C6">
              <w:rPr>
                <w:rFonts w:ascii="Arial" w:hAnsi="Arial"/>
                <w:sz w:val="21"/>
              </w:rPr>
              <w:t>5</w:t>
            </w:r>
            <w:r w:rsidR="00701329" w:rsidRPr="00FC03C6">
              <w:rPr>
                <w:rFonts w:ascii="Arial" w:hAnsi="Arial"/>
                <w:sz w:val="21"/>
              </w:rPr>
              <w:t> %.</w:t>
            </w:r>
          </w:p>
          <w:p w14:paraId="66542CFE" w14:textId="77777777" w:rsidR="006B3C8F" w:rsidRPr="00FC03C6" w:rsidRDefault="006B3C8F" w:rsidP="009F4B5C">
            <w:pPr>
              <w:tabs>
                <w:tab w:val="left" w:pos="426"/>
              </w:tabs>
              <w:rPr>
                <w:rFonts w:ascii="Arial" w:hAnsi="Arial"/>
                <w:sz w:val="8"/>
                <w:szCs w:val="8"/>
              </w:rPr>
            </w:pPr>
          </w:p>
          <w:p w14:paraId="322E32DC" w14:textId="77777777" w:rsidR="004F1DD6" w:rsidRPr="00F6401B" w:rsidRDefault="004F1DD6" w:rsidP="009F4B5C">
            <w:pPr>
              <w:pStyle w:val="Zkladntext210"/>
              <w:tabs>
                <w:tab w:val="left" w:pos="426"/>
              </w:tabs>
              <w:ind w:firstLine="284"/>
              <w:rPr>
                <w:rFonts w:ascii="Arial" w:hAnsi="Arial" w:cs="Arial"/>
                <w:szCs w:val="21"/>
              </w:rPr>
            </w:pPr>
          </w:p>
          <w:p w14:paraId="5927A3AD" w14:textId="4CA5DBAF" w:rsidR="00732F12" w:rsidRPr="004446B4" w:rsidRDefault="004B07DC" w:rsidP="009F4B5C">
            <w:pPr>
              <w:pStyle w:val="Zkladntext210"/>
              <w:tabs>
                <w:tab w:val="left" w:pos="426"/>
              </w:tabs>
              <w:ind w:firstLine="284"/>
              <w:rPr>
                <w:rFonts w:ascii="Arial" w:hAnsi="Arial" w:cs="Arial"/>
                <w:szCs w:val="21"/>
              </w:rPr>
            </w:pPr>
            <w:r w:rsidRPr="004446B4">
              <w:rPr>
                <w:rFonts w:ascii="Arial" w:hAnsi="Arial" w:cs="Arial"/>
                <w:szCs w:val="21"/>
              </w:rPr>
              <w:t>Inflácia v</w:t>
            </w:r>
            <w:r w:rsidR="004446B4" w:rsidRPr="004446B4">
              <w:rPr>
                <w:rFonts w:ascii="Arial" w:hAnsi="Arial" w:cs="Arial"/>
                <w:szCs w:val="21"/>
              </w:rPr>
              <w:t>o</w:t>
            </w:r>
            <w:r w:rsidR="00C4507F" w:rsidRPr="004446B4">
              <w:rPr>
                <w:rFonts w:ascii="Arial" w:hAnsi="Arial" w:cs="Arial"/>
                <w:szCs w:val="21"/>
              </w:rPr>
              <w:t> </w:t>
            </w:r>
            <w:r w:rsidR="004446B4" w:rsidRPr="004446B4">
              <w:rPr>
                <w:rFonts w:ascii="Arial" w:hAnsi="Arial" w:cs="Arial"/>
                <w:szCs w:val="21"/>
              </w:rPr>
              <w:t>4</w:t>
            </w:r>
            <w:r w:rsidR="00C4507F" w:rsidRPr="004446B4">
              <w:rPr>
                <w:rFonts w:ascii="Arial" w:hAnsi="Arial" w:cs="Arial"/>
                <w:szCs w:val="21"/>
              </w:rPr>
              <w:t>.</w:t>
            </w:r>
            <w:r w:rsidR="007B003B" w:rsidRPr="004446B4">
              <w:rPr>
                <w:rFonts w:ascii="Arial" w:hAnsi="Arial" w:cs="Arial"/>
                <w:szCs w:val="21"/>
              </w:rPr>
              <w:t xml:space="preserve"> štvrťroku 202</w:t>
            </w:r>
            <w:r w:rsidR="004F1DD6" w:rsidRPr="004446B4">
              <w:rPr>
                <w:rFonts w:ascii="Arial" w:hAnsi="Arial" w:cs="Arial"/>
                <w:szCs w:val="21"/>
              </w:rPr>
              <w:t>5</w:t>
            </w:r>
            <w:r w:rsidR="007B003B" w:rsidRPr="004446B4">
              <w:rPr>
                <w:rFonts w:ascii="Arial" w:hAnsi="Arial" w:cs="Arial"/>
                <w:szCs w:val="21"/>
              </w:rPr>
              <w:t xml:space="preserve"> dosiahla úroveň </w:t>
            </w:r>
            <w:r w:rsidR="004446B4" w:rsidRPr="004446B4">
              <w:rPr>
                <w:rFonts w:ascii="Arial" w:hAnsi="Arial" w:cs="Arial"/>
                <w:szCs w:val="21"/>
              </w:rPr>
              <w:t>3,8</w:t>
            </w:r>
            <w:r w:rsidR="00AC22A1" w:rsidRPr="004446B4">
              <w:rPr>
                <w:rFonts w:ascii="Arial" w:hAnsi="Arial" w:cs="Arial"/>
                <w:szCs w:val="21"/>
              </w:rPr>
              <w:t xml:space="preserve"> %, </w:t>
            </w:r>
            <w:r w:rsidR="00F6401B" w:rsidRPr="004446B4">
              <w:rPr>
                <w:rFonts w:ascii="Arial" w:hAnsi="Arial" w:cs="Arial"/>
                <w:szCs w:val="21"/>
              </w:rPr>
              <w:t xml:space="preserve">bola to </w:t>
            </w:r>
            <w:r w:rsidR="000825CD" w:rsidRPr="004446B4">
              <w:rPr>
                <w:rFonts w:ascii="Arial" w:hAnsi="Arial" w:cs="Arial"/>
                <w:szCs w:val="21"/>
              </w:rPr>
              <w:t>naj</w:t>
            </w:r>
            <w:r w:rsidR="004446B4" w:rsidRPr="004446B4">
              <w:rPr>
                <w:rFonts w:ascii="Arial" w:hAnsi="Arial" w:cs="Arial"/>
                <w:szCs w:val="21"/>
              </w:rPr>
              <w:t>nižšia</w:t>
            </w:r>
            <w:r w:rsidR="00666AC4" w:rsidRPr="004446B4">
              <w:rPr>
                <w:rFonts w:ascii="Arial" w:hAnsi="Arial" w:cs="Arial"/>
                <w:szCs w:val="21"/>
              </w:rPr>
              <w:t xml:space="preserve"> </w:t>
            </w:r>
            <w:r w:rsidR="004446B4" w:rsidRPr="004446B4">
              <w:rPr>
                <w:rFonts w:ascii="Arial" w:hAnsi="Arial" w:cs="Arial"/>
                <w:szCs w:val="21"/>
              </w:rPr>
              <w:t xml:space="preserve">štvrťročná </w:t>
            </w:r>
            <w:r w:rsidR="00666AC4" w:rsidRPr="004446B4">
              <w:rPr>
                <w:rFonts w:ascii="Arial" w:hAnsi="Arial" w:cs="Arial"/>
                <w:szCs w:val="21"/>
              </w:rPr>
              <w:t>hodnot</w:t>
            </w:r>
            <w:r w:rsidR="00F6401B" w:rsidRPr="004446B4">
              <w:rPr>
                <w:rFonts w:ascii="Arial" w:hAnsi="Arial" w:cs="Arial"/>
                <w:szCs w:val="21"/>
              </w:rPr>
              <w:t>a</w:t>
            </w:r>
            <w:r w:rsidR="00666AC4" w:rsidRPr="004446B4">
              <w:rPr>
                <w:rFonts w:ascii="Arial" w:hAnsi="Arial" w:cs="Arial"/>
                <w:szCs w:val="21"/>
              </w:rPr>
              <w:t xml:space="preserve"> </w:t>
            </w:r>
            <w:r w:rsidR="004446B4" w:rsidRPr="004446B4">
              <w:rPr>
                <w:rFonts w:ascii="Arial" w:hAnsi="Arial" w:cs="Arial"/>
                <w:szCs w:val="21"/>
              </w:rPr>
              <w:t>v roku</w:t>
            </w:r>
            <w:r w:rsidR="0054663C" w:rsidRPr="004446B4">
              <w:rPr>
                <w:rFonts w:ascii="Arial" w:hAnsi="Arial" w:cs="Arial"/>
                <w:szCs w:val="21"/>
              </w:rPr>
              <w:t xml:space="preserve"> 202</w:t>
            </w:r>
            <w:r w:rsidR="004446B4" w:rsidRPr="004446B4">
              <w:rPr>
                <w:rFonts w:ascii="Arial" w:hAnsi="Arial" w:cs="Arial"/>
                <w:szCs w:val="21"/>
              </w:rPr>
              <w:t>5</w:t>
            </w:r>
            <w:r w:rsidR="004F1DD6" w:rsidRPr="004446B4">
              <w:rPr>
                <w:rFonts w:ascii="Arial" w:hAnsi="Arial" w:cs="Arial"/>
                <w:szCs w:val="21"/>
              </w:rPr>
              <w:t>.</w:t>
            </w:r>
            <w:r w:rsidR="007B003B" w:rsidRPr="004446B4">
              <w:rPr>
                <w:rFonts w:ascii="Arial" w:hAnsi="Arial" w:cs="Arial"/>
                <w:szCs w:val="21"/>
              </w:rPr>
              <w:t xml:space="preserve"> </w:t>
            </w:r>
            <w:r w:rsidR="004446B4" w:rsidRPr="004446B4">
              <w:rPr>
                <w:rFonts w:ascii="Arial" w:hAnsi="Arial" w:cs="Arial"/>
                <w:szCs w:val="21"/>
              </w:rPr>
              <w:t xml:space="preserve">Úroveň 4 % prekročila v 2. a 3. štvrťroku. </w:t>
            </w:r>
          </w:p>
          <w:p w14:paraId="0971BFC6" w14:textId="77777777" w:rsidR="00732F12" w:rsidRPr="008B5BC4" w:rsidRDefault="00732F12" w:rsidP="009F4B5C">
            <w:pPr>
              <w:pStyle w:val="Zkladntext210"/>
              <w:tabs>
                <w:tab w:val="left" w:pos="426"/>
              </w:tabs>
              <w:ind w:firstLine="284"/>
              <w:rPr>
                <w:rFonts w:ascii="Arial" w:hAnsi="Arial" w:cs="Arial"/>
                <w:color w:val="EE0000"/>
                <w:sz w:val="10"/>
                <w:szCs w:val="10"/>
              </w:rPr>
            </w:pPr>
          </w:p>
          <w:p w14:paraId="464F007D" w14:textId="041F1E05" w:rsidR="003274B7" w:rsidRPr="004446B4" w:rsidRDefault="0087674C" w:rsidP="009F4B5C">
            <w:pPr>
              <w:pStyle w:val="Zkladntext210"/>
              <w:tabs>
                <w:tab w:val="left" w:pos="426"/>
              </w:tabs>
              <w:ind w:firstLine="284"/>
              <w:rPr>
                <w:rFonts w:ascii="Arial" w:hAnsi="Arial" w:cs="Arial"/>
                <w:sz w:val="10"/>
                <w:szCs w:val="10"/>
              </w:rPr>
            </w:pPr>
            <w:r w:rsidRPr="004446B4">
              <w:rPr>
                <w:rFonts w:ascii="Arial" w:hAnsi="Arial" w:cs="Arial"/>
                <w:szCs w:val="21"/>
              </w:rPr>
              <w:t xml:space="preserve">Vplyv </w:t>
            </w:r>
            <w:r w:rsidR="004F1DD6" w:rsidRPr="004446B4">
              <w:rPr>
                <w:rFonts w:ascii="Arial" w:hAnsi="Arial" w:cs="Arial"/>
                <w:szCs w:val="21"/>
              </w:rPr>
              <w:t xml:space="preserve">na celkovú úroveň mali </w:t>
            </w:r>
            <w:r w:rsidR="0054663C" w:rsidRPr="004446B4">
              <w:rPr>
                <w:rFonts w:ascii="Arial" w:hAnsi="Arial" w:cs="Arial"/>
                <w:szCs w:val="21"/>
              </w:rPr>
              <w:t>ceny potravín</w:t>
            </w:r>
            <w:r w:rsidR="00C4507F" w:rsidRPr="004446B4">
              <w:rPr>
                <w:rFonts w:ascii="Arial" w:hAnsi="Arial" w:cs="Arial"/>
                <w:szCs w:val="21"/>
              </w:rPr>
              <w:t xml:space="preserve"> v jadrovej inflácii</w:t>
            </w:r>
            <w:r w:rsidR="0054663C" w:rsidRPr="004446B4">
              <w:rPr>
                <w:rFonts w:ascii="Arial" w:hAnsi="Arial" w:cs="Arial"/>
                <w:szCs w:val="21"/>
              </w:rPr>
              <w:t>, v</w:t>
            </w:r>
            <w:r w:rsidR="004446B4" w:rsidRPr="004446B4">
              <w:rPr>
                <w:rFonts w:ascii="Arial" w:hAnsi="Arial" w:cs="Arial"/>
                <w:szCs w:val="21"/>
              </w:rPr>
              <w:t>o</w:t>
            </w:r>
            <w:r w:rsidR="0054663C" w:rsidRPr="004446B4">
              <w:rPr>
                <w:rFonts w:ascii="Arial" w:hAnsi="Arial" w:cs="Arial"/>
                <w:szCs w:val="21"/>
              </w:rPr>
              <w:t> </w:t>
            </w:r>
            <w:r w:rsidR="004446B4" w:rsidRPr="004446B4">
              <w:rPr>
                <w:rFonts w:ascii="Arial" w:hAnsi="Arial" w:cs="Arial"/>
                <w:szCs w:val="21"/>
              </w:rPr>
              <w:t>štvrtom</w:t>
            </w:r>
            <w:r w:rsidR="0054663C" w:rsidRPr="004446B4">
              <w:rPr>
                <w:rFonts w:ascii="Arial" w:hAnsi="Arial" w:cs="Arial"/>
                <w:szCs w:val="21"/>
              </w:rPr>
              <w:t xml:space="preserve"> štvrťroku sa  medziročne zvýšili o </w:t>
            </w:r>
            <w:r w:rsidR="004446B4" w:rsidRPr="004446B4">
              <w:rPr>
                <w:rFonts w:ascii="Arial" w:hAnsi="Arial" w:cs="Arial"/>
                <w:szCs w:val="21"/>
              </w:rPr>
              <w:t>2</w:t>
            </w:r>
            <w:r w:rsidR="0054663C" w:rsidRPr="004446B4">
              <w:rPr>
                <w:rFonts w:ascii="Arial" w:hAnsi="Arial" w:cs="Arial"/>
                <w:szCs w:val="21"/>
              </w:rPr>
              <w:t xml:space="preserve"> %. Tempo rastu sa oproti </w:t>
            </w:r>
            <w:r w:rsidR="004446B4" w:rsidRPr="004446B4">
              <w:rPr>
                <w:rFonts w:ascii="Arial" w:hAnsi="Arial" w:cs="Arial"/>
                <w:szCs w:val="21"/>
              </w:rPr>
              <w:t>3</w:t>
            </w:r>
            <w:r w:rsidR="0054663C" w:rsidRPr="004446B4">
              <w:rPr>
                <w:rFonts w:ascii="Arial" w:hAnsi="Arial" w:cs="Arial"/>
                <w:szCs w:val="21"/>
              </w:rPr>
              <w:t xml:space="preserve">. štvrťroku </w:t>
            </w:r>
            <w:r w:rsidR="004446B4" w:rsidRPr="004446B4">
              <w:rPr>
                <w:rFonts w:ascii="Arial" w:hAnsi="Arial" w:cs="Arial"/>
                <w:szCs w:val="21"/>
              </w:rPr>
              <w:t xml:space="preserve">výrazne </w:t>
            </w:r>
            <w:r w:rsidR="0054663C" w:rsidRPr="004446B4">
              <w:rPr>
                <w:rFonts w:ascii="Arial" w:hAnsi="Arial" w:cs="Arial"/>
                <w:szCs w:val="21"/>
              </w:rPr>
              <w:t>zmiernilo, kedy sa ceny ešte zvyšovali o 4,</w:t>
            </w:r>
            <w:r w:rsidR="004446B4" w:rsidRPr="004446B4">
              <w:rPr>
                <w:rFonts w:ascii="Arial" w:hAnsi="Arial" w:cs="Arial"/>
                <w:szCs w:val="21"/>
              </w:rPr>
              <w:t>5</w:t>
            </w:r>
            <w:r w:rsidR="0054663C" w:rsidRPr="004446B4">
              <w:rPr>
                <w:rFonts w:ascii="Arial" w:hAnsi="Arial" w:cs="Arial"/>
                <w:szCs w:val="21"/>
              </w:rPr>
              <w:t> %. R</w:t>
            </w:r>
            <w:r w:rsidR="004F1DD6" w:rsidRPr="004446B4">
              <w:rPr>
                <w:rFonts w:ascii="Arial" w:hAnsi="Arial" w:cs="Arial"/>
                <w:szCs w:val="21"/>
              </w:rPr>
              <w:t>egulované ceny boli medziročne vyššie o</w:t>
            </w:r>
            <w:r w:rsidR="0054663C" w:rsidRPr="004446B4">
              <w:rPr>
                <w:rFonts w:ascii="Arial" w:hAnsi="Arial" w:cs="Arial"/>
                <w:szCs w:val="21"/>
              </w:rPr>
              <w:t> 3,</w:t>
            </w:r>
            <w:r w:rsidR="004446B4" w:rsidRPr="004446B4">
              <w:rPr>
                <w:rFonts w:ascii="Arial" w:hAnsi="Arial" w:cs="Arial"/>
                <w:szCs w:val="21"/>
              </w:rPr>
              <w:t>6</w:t>
            </w:r>
            <w:r w:rsidR="004F1DD6" w:rsidRPr="004446B4">
              <w:rPr>
                <w:rFonts w:ascii="Arial" w:hAnsi="Arial" w:cs="Arial"/>
                <w:szCs w:val="21"/>
              </w:rPr>
              <w:t xml:space="preserve"> %. </w:t>
            </w:r>
          </w:p>
          <w:p w14:paraId="5FD28AAF" w14:textId="77777777" w:rsidR="0051301A" w:rsidRPr="004446B4" w:rsidRDefault="0051301A" w:rsidP="009F4B5C">
            <w:pPr>
              <w:pStyle w:val="Zkladntext210"/>
              <w:tabs>
                <w:tab w:val="left" w:pos="426"/>
              </w:tabs>
              <w:ind w:firstLine="284"/>
              <w:rPr>
                <w:rFonts w:ascii="Arial" w:hAnsi="Arial" w:cs="Arial"/>
                <w:sz w:val="10"/>
                <w:szCs w:val="10"/>
              </w:rPr>
            </w:pPr>
          </w:p>
          <w:p w14:paraId="2B1F3C29" w14:textId="7079063B" w:rsidR="00D4470A" w:rsidRPr="004446B4" w:rsidRDefault="007B003B" w:rsidP="009F4B5C">
            <w:pPr>
              <w:pStyle w:val="Zkladntext210"/>
              <w:tabs>
                <w:tab w:val="left" w:pos="426"/>
              </w:tabs>
              <w:ind w:firstLine="284"/>
              <w:rPr>
                <w:rFonts w:ascii="Arial" w:hAnsi="Arial" w:cs="Arial"/>
                <w:szCs w:val="21"/>
              </w:rPr>
            </w:pPr>
            <w:r w:rsidRPr="004446B4">
              <w:rPr>
                <w:rFonts w:ascii="Arial" w:hAnsi="Arial" w:cs="Arial"/>
                <w:szCs w:val="21"/>
              </w:rPr>
              <w:t xml:space="preserve">Jadrová inflácia </w:t>
            </w:r>
            <w:r w:rsidR="005B340E" w:rsidRPr="004446B4">
              <w:rPr>
                <w:rFonts w:ascii="Arial" w:hAnsi="Arial" w:cs="Arial"/>
                <w:szCs w:val="21"/>
              </w:rPr>
              <w:t>bola</w:t>
            </w:r>
            <w:r w:rsidR="0054663C" w:rsidRPr="004446B4">
              <w:rPr>
                <w:rFonts w:ascii="Arial" w:hAnsi="Arial" w:cs="Arial"/>
                <w:szCs w:val="21"/>
              </w:rPr>
              <w:t xml:space="preserve"> na úrovni</w:t>
            </w:r>
            <w:r w:rsidR="00B1305D" w:rsidRPr="004446B4">
              <w:rPr>
                <w:rFonts w:ascii="Arial" w:hAnsi="Arial" w:cs="Arial"/>
                <w:szCs w:val="21"/>
              </w:rPr>
              <w:t xml:space="preserve"> </w:t>
            </w:r>
            <w:r w:rsidR="004446B4" w:rsidRPr="004446B4">
              <w:rPr>
                <w:rFonts w:ascii="Arial" w:hAnsi="Arial" w:cs="Arial"/>
                <w:szCs w:val="21"/>
              </w:rPr>
              <w:t>3</w:t>
            </w:r>
            <w:r w:rsidR="005A03E8" w:rsidRPr="004446B4">
              <w:rPr>
                <w:rFonts w:ascii="Arial" w:hAnsi="Arial" w:cs="Arial"/>
                <w:szCs w:val="21"/>
              </w:rPr>
              <w:t> </w:t>
            </w:r>
            <w:r w:rsidRPr="004446B4">
              <w:rPr>
                <w:rFonts w:ascii="Arial" w:hAnsi="Arial" w:cs="Arial"/>
                <w:szCs w:val="21"/>
              </w:rPr>
              <w:t xml:space="preserve">% a úroveň čistej inflácie (bez vplyvu regulovaných cien a potravín) dosiahla hodnotu </w:t>
            </w:r>
            <w:r w:rsidR="0054663C" w:rsidRPr="004446B4">
              <w:rPr>
                <w:rFonts w:ascii="Arial" w:hAnsi="Arial" w:cs="Arial"/>
                <w:szCs w:val="21"/>
              </w:rPr>
              <w:t>3,3</w:t>
            </w:r>
            <w:r w:rsidR="000825CD" w:rsidRPr="004446B4">
              <w:rPr>
                <w:rFonts w:ascii="Arial" w:hAnsi="Arial" w:cs="Arial"/>
                <w:szCs w:val="21"/>
              </w:rPr>
              <w:t> </w:t>
            </w:r>
            <w:r w:rsidRPr="004446B4">
              <w:rPr>
                <w:rFonts w:ascii="Arial" w:hAnsi="Arial" w:cs="Arial"/>
                <w:szCs w:val="21"/>
              </w:rPr>
              <w:t>%</w:t>
            </w:r>
            <w:r w:rsidR="004446B4" w:rsidRPr="004446B4">
              <w:rPr>
                <w:rFonts w:ascii="Arial" w:hAnsi="Arial" w:cs="Arial"/>
                <w:szCs w:val="21"/>
              </w:rPr>
              <w:t>, rovnako ako v 3. štvrťroku</w:t>
            </w:r>
            <w:r w:rsidRPr="004446B4">
              <w:rPr>
                <w:rFonts w:ascii="Arial" w:hAnsi="Arial" w:cs="Arial"/>
                <w:szCs w:val="21"/>
              </w:rPr>
              <w:t>.</w:t>
            </w:r>
          </w:p>
          <w:p w14:paraId="61CBCF37" w14:textId="77777777" w:rsidR="00701329" w:rsidRPr="004446B4" w:rsidRDefault="00701329" w:rsidP="009F4B5C">
            <w:pPr>
              <w:pStyle w:val="Zkladntext210"/>
              <w:tabs>
                <w:tab w:val="left" w:pos="426"/>
              </w:tabs>
              <w:ind w:firstLine="284"/>
              <w:rPr>
                <w:rFonts w:ascii="Arial" w:hAnsi="Arial" w:cs="Arial"/>
                <w:sz w:val="10"/>
                <w:szCs w:val="10"/>
              </w:rPr>
            </w:pPr>
          </w:p>
          <w:p w14:paraId="06380D0B" w14:textId="5DEEFF4E" w:rsidR="00701329" w:rsidRPr="004446B4" w:rsidRDefault="00701329" w:rsidP="009F4B5C">
            <w:pPr>
              <w:pStyle w:val="Zkladntext210"/>
              <w:tabs>
                <w:tab w:val="left" w:pos="426"/>
              </w:tabs>
              <w:ind w:firstLine="284"/>
              <w:rPr>
                <w:rFonts w:ascii="Arial" w:hAnsi="Arial" w:cs="Arial"/>
                <w:szCs w:val="21"/>
              </w:rPr>
            </w:pPr>
            <w:r w:rsidRPr="004446B4">
              <w:rPr>
                <w:rFonts w:ascii="Arial" w:hAnsi="Arial" w:cs="Arial"/>
              </w:rPr>
              <w:t xml:space="preserve">Priemerná miera inflácie </w:t>
            </w:r>
            <w:r w:rsidR="0054663C" w:rsidRPr="004446B4">
              <w:rPr>
                <w:rFonts w:ascii="Arial" w:hAnsi="Arial" w:cs="Arial"/>
              </w:rPr>
              <w:t xml:space="preserve">za </w:t>
            </w:r>
            <w:r w:rsidR="004446B4" w:rsidRPr="004446B4">
              <w:rPr>
                <w:rFonts w:ascii="Arial" w:hAnsi="Arial" w:cs="Arial"/>
              </w:rPr>
              <w:t>celý</w:t>
            </w:r>
            <w:r w:rsidR="0054663C" w:rsidRPr="004446B4">
              <w:rPr>
                <w:rFonts w:ascii="Arial" w:hAnsi="Arial" w:cs="Arial"/>
              </w:rPr>
              <w:t xml:space="preserve"> rok</w:t>
            </w:r>
            <w:r w:rsidRPr="004446B4">
              <w:rPr>
                <w:rFonts w:ascii="Arial" w:hAnsi="Arial" w:cs="Arial"/>
              </w:rPr>
              <w:t xml:space="preserve"> 202</w:t>
            </w:r>
            <w:r w:rsidR="00F6401B" w:rsidRPr="004446B4">
              <w:rPr>
                <w:rFonts w:ascii="Arial" w:hAnsi="Arial" w:cs="Arial"/>
              </w:rPr>
              <w:t>5</w:t>
            </w:r>
            <w:r w:rsidRPr="004446B4">
              <w:rPr>
                <w:rFonts w:ascii="Arial" w:hAnsi="Arial" w:cs="Arial"/>
              </w:rPr>
              <w:t xml:space="preserve"> bola na úrovni </w:t>
            </w:r>
            <w:r w:rsidR="008F1BE3" w:rsidRPr="004446B4">
              <w:rPr>
                <w:rFonts w:ascii="Arial" w:hAnsi="Arial" w:cs="Arial"/>
              </w:rPr>
              <w:t>4 </w:t>
            </w:r>
            <w:r w:rsidRPr="004446B4">
              <w:rPr>
                <w:rFonts w:ascii="Arial" w:hAnsi="Arial" w:cs="Arial"/>
              </w:rPr>
              <w:t>% (v roku 202</w:t>
            </w:r>
            <w:r w:rsidR="00F6401B" w:rsidRPr="004446B4">
              <w:rPr>
                <w:rFonts w:ascii="Arial" w:hAnsi="Arial" w:cs="Arial"/>
              </w:rPr>
              <w:t>4</w:t>
            </w:r>
            <w:r w:rsidRPr="004446B4">
              <w:rPr>
                <w:rFonts w:ascii="Arial" w:hAnsi="Arial" w:cs="Arial"/>
              </w:rPr>
              <w:t xml:space="preserve"> dosiahla </w:t>
            </w:r>
            <w:r w:rsidR="00C4507F" w:rsidRPr="004446B4">
              <w:rPr>
                <w:rFonts w:ascii="Arial" w:hAnsi="Arial" w:cs="Arial"/>
              </w:rPr>
              <w:t>2,</w:t>
            </w:r>
            <w:r w:rsidR="004446B4" w:rsidRPr="004446B4">
              <w:rPr>
                <w:rFonts w:ascii="Arial" w:hAnsi="Arial" w:cs="Arial"/>
              </w:rPr>
              <w:t>8 </w:t>
            </w:r>
            <w:r w:rsidRPr="004446B4">
              <w:rPr>
                <w:rFonts w:ascii="Arial" w:hAnsi="Arial" w:cs="Arial"/>
              </w:rPr>
              <w:t>%).</w:t>
            </w:r>
          </w:p>
          <w:p w14:paraId="48F71A84" w14:textId="77777777" w:rsidR="00CE4372" w:rsidRPr="004446B4" w:rsidRDefault="00CE4372" w:rsidP="009F4B5C">
            <w:pPr>
              <w:pStyle w:val="Zkladntext210"/>
              <w:tabs>
                <w:tab w:val="left" w:pos="426"/>
              </w:tabs>
              <w:ind w:firstLine="284"/>
              <w:rPr>
                <w:rFonts w:ascii="Arial" w:hAnsi="Arial" w:cs="Arial"/>
                <w:sz w:val="10"/>
                <w:szCs w:val="10"/>
              </w:rPr>
            </w:pPr>
          </w:p>
          <w:p w14:paraId="6B3B2EC3" w14:textId="1CD144C9" w:rsidR="00CE4372" w:rsidRPr="009F2CAE" w:rsidRDefault="00CE4372" w:rsidP="009F4B5C">
            <w:pPr>
              <w:pStyle w:val="Zkladntext210"/>
              <w:tabs>
                <w:tab w:val="left" w:pos="426"/>
              </w:tabs>
              <w:ind w:firstLine="284"/>
              <w:rPr>
                <w:rFonts w:ascii="Arial" w:hAnsi="Arial" w:cs="Arial"/>
                <w:color w:val="EE0000"/>
                <w:szCs w:val="21"/>
              </w:rPr>
            </w:pPr>
          </w:p>
          <w:p w14:paraId="6853A98A" w14:textId="77777777" w:rsidR="007B003B" w:rsidRPr="009F2CAE" w:rsidRDefault="007B003B" w:rsidP="009F4B5C">
            <w:pPr>
              <w:pStyle w:val="Zkladntext210"/>
              <w:tabs>
                <w:tab w:val="left" w:pos="426"/>
              </w:tabs>
              <w:ind w:firstLine="284"/>
              <w:rPr>
                <w:rFonts w:ascii="Arial" w:hAnsi="Arial" w:cs="Arial"/>
                <w:color w:val="EE0000"/>
                <w:sz w:val="10"/>
                <w:szCs w:val="10"/>
              </w:rPr>
            </w:pPr>
          </w:p>
          <w:p w14:paraId="36B648EC" w14:textId="77777777" w:rsidR="00456B5B" w:rsidRPr="009F2CAE" w:rsidRDefault="00456B5B" w:rsidP="00425751">
            <w:pPr>
              <w:pStyle w:val="Zkladntext210"/>
              <w:tabs>
                <w:tab w:val="left" w:pos="426"/>
              </w:tabs>
              <w:rPr>
                <w:rFonts w:ascii="Arial" w:hAnsi="Arial"/>
                <w:color w:val="EE0000"/>
                <w:szCs w:val="21"/>
              </w:rPr>
            </w:pPr>
          </w:p>
        </w:tc>
        <w:tc>
          <w:tcPr>
            <w:tcW w:w="103" w:type="dxa"/>
            <w:tcBorders>
              <w:top w:val="nil"/>
              <w:left w:val="nil"/>
              <w:bottom w:val="nil"/>
              <w:right w:val="nil"/>
            </w:tcBorders>
          </w:tcPr>
          <w:p w14:paraId="0A18479A" w14:textId="77777777" w:rsidR="00190E0F" w:rsidRPr="00341631" w:rsidRDefault="00190E0F" w:rsidP="009F4B5C">
            <w:pPr>
              <w:tabs>
                <w:tab w:val="left" w:pos="426"/>
              </w:tabs>
              <w:rPr>
                <w:rFonts w:ascii="Arial" w:hAnsi="Arial"/>
              </w:rPr>
            </w:pPr>
          </w:p>
        </w:tc>
        <w:tc>
          <w:tcPr>
            <w:tcW w:w="2296" w:type="dxa"/>
            <w:tcBorders>
              <w:top w:val="nil"/>
              <w:left w:val="nil"/>
              <w:bottom w:val="nil"/>
              <w:right w:val="nil"/>
            </w:tcBorders>
          </w:tcPr>
          <w:p w14:paraId="607F8575" w14:textId="77777777" w:rsidR="000B5BEB" w:rsidRPr="00341631" w:rsidRDefault="000B5BEB" w:rsidP="009F4B5C">
            <w:pPr>
              <w:pStyle w:val="BodyText213"/>
              <w:tabs>
                <w:tab w:val="left" w:pos="426"/>
              </w:tabs>
              <w:jc w:val="left"/>
              <w:rPr>
                <w:rFonts w:ascii="Arial" w:hAnsi="Arial"/>
                <w:b/>
                <w:color w:val="auto"/>
                <w:sz w:val="20"/>
              </w:rPr>
            </w:pPr>
          </w:p>
          <w:p w14:paraId="172FC148" w14:textId="77777777" w:rsidR="000B5BEB" w:rsidRPr="00341631" w:rsidRDefault="000B5BEB" w:rsidP="009F4B5C">
            <w:pPr>
              <w:pStyle w:val="BodyText213"/>
              <w:tabs>
                <w:tab w:val="left" w:pos="426"/>
              </w:tabs>
              <w:jc w:val="left"/>
              <w:rPr>
                <w:rFonts w:ascii="Arial" w:hAnsi="Arial"/>
                <w:b/>
                <w:color w:val="auto"/>
                <w:sz w:val="20"/>
              </w:rPr>
            </w:pPr>
          </w:p>
          <w:p w14:paraId="1E16B097" w14:textId="77777777" w:rsidR="000B5BEB" w:rsidRPr="00341631" w:rsidRDefault="000B5BEB" w:rsidP="009F4B5C">
            <w:pPr>
              <w:pStyle w:val="BodyText213"/>
              <w:tabs>
                <w:tab w:val="left" w:pos="426"/>
              </w:tabs>
              <w:jc w:val="left"/>
              <w:rPr>
                <w:rFonts w:ascii="Arial" w:hAnsi="Arial"/>
                <w:b/>
                <w:color w:val="auto"/>
                <w:sz w:val="20"/>
              </w:rPr>
            </w:pPr>
          </w:p>
          <w:p w14:paraId="678144A1" w14:textId="77777777" w:rsidR="000B5BEB" w:rsidRPr="00341631" w:rsidRDefault="000B5BEB" w:rsidP="009F4B5C">
            <w:pPr>
              <w:pStyle w:val="BodyText213"/>
              <w:tabs>
                <w:tab w:val="left" w:pos="426"/>
              </w:tabs>
              <w:jc w:val="left"/>
              <w:rPr>
                <w:rFonts w:ascii="Arial" w:hAnsi="Arial"/>
                <w:b/>
                <w:color w:val="auto"/>
                <w:sz w:val="20"/>
              </w:rPr>
            </w:pPr>
          </w:p>
          <w:p w14:paraId="6532C208" w14:textId="77777777" w:rsidR="000B5BEB" w:rsidRPr="00341631" w:rsidRDefault="000B5BEB" w:rsidP="009F4B5C">
            <w:pPr>
              <w:pStyle w:val="BodyText213"/>
              <w:tabs>
                <w:tab w:val="left" w:pos="426"/>
              </w:tabs>
              <w:jc w:val="left"/>
              <w:rPr>
                <w:rFonts w:ascii="Arial" w:hAnsi="Arial"/>
                <w:b/>
                <w:color w:val="auto"/>
                <w:sz w:val="20"/>
              </w:rPr>
            </w:pPr>
          </w:p>
          <w:p w14:paraId="01DEA5F2" w14:textId="77777777" w:rsidR="00A93F85" w:rsidRPr="00A93F85" w:rsidRDefault="00A93F85" w:rsidP="009F4B5C">
            <w:pPr>
              <w:pStyle w:val="BodyText213"/>
              <w:tabs>
                <w:tab w:val="left" w:pos="426"/>
              </w:tabs>
              <w:jc w:val="left"/>
              <w:rPr>
                <w:rFonts w:ascii="Arial" w:hAnsi="Arial"/>
                <w:b/>
                <w:color w:val="auto"/>
                <w:sz w:val="14"/>
                <w:szCs w:val="14"/>
              </w:rPr>
            </w:pPr>
          </w:p>
          <w:p w14:paraId="5956CE1E" w14:textId="77777777" w:rsidR="00A93F85" w:rsidRPr="00A93F85" w:rsidRDefault="00A93F85" w:rsidP="009F4B5C">
            <w:pPr>
              <w:pStyle w:val="BodyText213"/>
              <w:tabs>
                <w:tab w:val="left" w:pos="426"/>
              </w:tabs>
              <w:jc w:val="left"/>
              <w:rPr>
                <w:rFonts w:ascii="Arial" w:hAnsi="Arial"/>
                <w:b/>
                <w:color w:val="auto"/>
                <w:sz w:val="14"/>
                <w:szCs w:val="14"/>
              </w:rPr>
            </w:pPr>
          </w:p>
          <w:p w14:paraId="56309A99" w14:textId="77777777" w:rsidR="0046244D" w:rsidRDefault="0046244D" w:rsidP="009F4B5C">
            <w:pPr>
              <w:pStyle w:val="BodyText213"/>
              <w:tabs>
                <w:tab w:val="left" w:pos="426"/>
              </w:tabs>
              <w:jc w:val="left"/>
              <w:rPr>
                <w:rFonts w:ascii="Arial" w:hAnsi="Arial"/>
                <w:b/>
                <w:color w:val="auto"/>
                <w:sz w:val="20"/>
              </w:rPr>
            </w:pPr>
          </w:p>
          <w:p w14:paraId="6AFEA891" w14:textId="174F3F00" w:rsidR="00190E0F" w:rsidRPr="00341631" w:rsidRDefault="00190E0F" w:rsidP="009F4B5C">
            <w:pPr>
              <w:pStyle w:val="BodyText213"/>
              <w:tabs>
                <w:tab w:val="left" w:pos="426"/>
              </w:tabs>
              <w:jc w:val="left"/>
              <w:rPr>
                <w:rFonts w:ascii="Arial" w:hAnsi="Arial"/>
                <w:b/>
                <w:color w:val="auto"/>
                <w:sz w:val="20"/>
              </w:rPr>
            </w:pPr>
            <w:r w:rsidRPr="00341631">
              <w:rPr>
                <w:rFonts w:ascii="Arial" w:hAnsi="Arial"/>
                <w:b/>
                <w:color w:val="auto"/>
                <w:sz w:val="20"/>
              </w:rPr>
              <w:t xml:space="preserve">Hrubý domáci produkt </w:t>
            </w:r>
            <w:r w:rsidR="006672DF" w:rsidRPr="00341631">
              <w:rPr>
                <w:rFonts w:ascii="Arial" w:hAnsi="Arial"/>
                <w:b/>
                <w:color w:val="auto"/>
                <w:sz w:val="20"/>
              </w:rPr>
              <w:t>me</w:t>
            </w:r>
            <w:r w:rsidR="006672DF" w:rsidRPr="00341631">
              <w:rPr>
                <w:rFonts w:ascii="Arial" w:hAnsi="Arial"/>
                <w:b/>
                <w:color w:val="auto"/>
                <w:sz w:val="20"/>
              </w:rPr>
              <w:softHyphen/>
              <w:t>dzi</w:t>
            </w:r>
            <w:r w:rsidR="00F74774" w:rsidRPr="00341631">
              <w:rPr>
                <w:rFonts w:ascii="Arial" w:hAnsi="Arial"/>
                <w:b/>
                <w:color w:val="auto"/>
                <w:sz w:val="20"/>
              </w:rPr>
              <w:softHyphen/>
            </w:r>
            <w:r w:rsidR="006672DF" w:rsidRPr="00341631">
              <w:rPr>
                <w:rFonts w:ascii="Arial" w:hAnsi="Arial"/>
                <w:b/>
                <w:color w:val="auto"/>
                <w:sz w:val="20"/>
              </w:rPr>
              <w:t xml:space="preserve">ročne </w:t>
            </w:r>
            <w:r w:rsidR="002A307E" w:rsidRPr="00341631">
              <w:rPr>
                <w:rFonts w:ascii="Arial" w:hAnsi="Arial"/>
                <w:b/>
                <w:color w:val="auto"/>
                <w:sz w:val="20"/>
              </w:rPr>
              <w:t xml:space="preserve">reálne </w:t>
            </w:r>
            <w:r w:rsidR="000C4AAF" w:rsidRPr="00341631">
              <w:rPr>
                <w:rFonts w:ascii="Arial" w:hAnsi="Arial"/>
                <w:b/>
                <w:color w:val="auto"/>
                <w:sz w:val="20"/>
              </w:rPr>
              <w:t>vzrástol</w:t>
            </w:r>
            <w:r w:rsidR="000621DD" w:rsidRPr="00341631">
              <w:rPr>
                <w:rFonts w:ascii="Arial" w:hAnsi="Arial"/>
                <w:b/>
                <w:color w:val="auto"/>
                <w:sz w:val="20"/>
              </w:rPr>
              <w:t xml:space="preserve"> </w:t>
            </w:r>
            <w:r w:rsidRPr="00341631">
              <w:rPr>
                <w:rFonts w:ascii="Arial" w:hAnsi="Arial"/>
                <w:b/>
                <w:color w:val="auto"/>
                <w:sz w:val="20"/>
              </w:rPr>
              <w:t>o</w:t>
            </w:r>
            <w:r w:rsidR="008B5BC4">
              <w:rPr>
                <w:rFonts w:ascii="Arial" w:hAnsi="Arial"/>
                <w:b/>
                <w:color w:val="auto"/>
                <w:sz w:val="20"/>
              </w:rPr>
              <w:t> 1</w:t>
            </w:r>
            <w:r w:rsidR="00B53E33">
              <w:rPr>
                <w:rFonts w:ascii="Arial" w:hAnsi="Arial"/>
                <w:b/>
                <w:color w:val="auto"/>
                <w:sz w:val="20"/>
              </w:rPr>
              <w:t xml:space="preserve"> %</w:t>
            </w:r>
            <w:r w:rsidRPr="00341631">
              <w:rPr>
                <w:rFonts w:ascii="Arial" w:hAnsi="Arial"/>
                <w:b/>
                <w:color w:val="auto"/>
                <w:sz w:val="20"/>
              </w:rPr>
              <w:t>.</w:t>
            </w:r>
          </w:p>
          <w:p w14:paraId="4695AF52" w14:textId="77777777" w:rsidR="000501CA" w:rsidRPr="00341631" w:rsidRDefault="000501CA" w:rsidP="009F4B5C">
            <w:pPr>
              <w:pStyle w:val="BodyText213"/>
              <w:tabs>
                <w:tab w:val="left" w:pos="426"/>
              </w:tabs>
              <w:jc w:val="left"/>
              <w:rPr>
                <w:rFonts w:ascii="Arial" w:hAnsi="Arial"/>
                <w:b/>
                <w:color w:val="auto"/>
                <w:sz w:val="20"/>
              </w:rPr>
            </w:pPr>
          </w:p>
          <w:p w14:paraId="7773C550" w14:textId="77777777" w:rsidR="000501CA" w:rsidRPr="00341631" w:rsidRDefault="000501CA" w:rsidP="009F4B5C">
            <w:pPr>
              <w:pStyle w:val="BodyText213"/>
              <w:tabs>
                <w:tab w:val="left" w:pos="426"/>
              </w:tabs>
              <w:jc w:val="left"/>
              <w:rPr>
                <w:rFonts w:ascii="Arial" w:hAnsi="Arial"/>
                <w:b/>
                <w:color w:val="auto"/>
                <w:sz w:val="20"/>
              </w:rPr>
            </w:pPr>
          </w:p>
          <w:p w14:paraId="2F6576D0" w14:textId="77777777" w:rsidR="000501CA" w:rsidRPr="00341631" w:rsidRDefault="000501CA" w:rsidP="009F4B5C">
            <w:pPr>
              <w:pStyle w:val="BodyText213"/>
              <w:tabs>
                <w:tab w:val="left" w:pos="426"/>
              </w:tabs>
              <w:jc w:val="left"/>
              <w:rPr>
                <w:rFonts w:ascii="Arial" w:hAnsi="Arial"/>
                <w:b/>
                <w:color w:val="auto"/>
                <w:sz w:val="20"/>
              </w:rPr>
            </w:pPr>
          </w:p>
          <w:p w14:paraId="628BE101" w14:textId="77777777" w:rsidR="000501CA" w:rsidRPr="00341631" w:rsidRDefault="000501CA" w:rsidP="009F4B5C">
            <w:pPr>
              <w:pStyle w:val="BodyText213"/>
              <w:tabs>
                <w:tab w:val="left" w:pos="426"/>
              </w:tabs>
              <w:jc w:val="left"/>
              <w:rPr>
                <w:rFonts w:ascii="Arial" w:hAnsi="Arial"/>
                <w:b/>
                <w:color w:val="auto"/>
                <w:sz w:val="20"/>
              </w:rPr>
            </w:pPr>
          </w:p>
          <w:p w14:paraId="2B43BC3B" w14:textId="77777777" w:rsidR="000501CA" w:rsidRPr="00341631" w:rsidRDefault="000501CA" w:rsidP="009F4B5C">
            <w:pPr>
              <w:pStyle w:val="BodyText213"/>
              <w:tabs>
                <w:tab w:val="left" w:pos="426"/>
              </w:tabs>
              <w:jc w:val="left"/>
              <w:rPr>
                <w:rFonts w:ascii="Arial" w:hAnsi="Arial"/>
                <w:b/>
                <w:color w:val="auto"/>
                <w:sz w:val="20"/>
              </w:rPr>
            </w:pPr>
          </w:p>
          <w:p w14:paraId="6098E73E" w14:textId="77777777" w:rsidR="000501CA" w:rsidRPr="00341631" w:rsidRDefault="000501CA" w:rsidP="009F4B5C">
            <w:pPr>
              <w:pStyle w:val="BodyText213"/>
              <w:tabs>
                <w:tab w:val="left" w:pos="426"/>
              </w:tabs>
              <w:jc w:val="left"/>
              <w:rPr>
                <w:rFonts w:ascii="Arial" w:hAnsi="Arial"/>
                <w:b/>
                <w:color w:val="auto"/>
                <w:sz w:val="20"/>
              </w:rPr>
            </w:pPr>
          </w:p>
          <w:p w14:paraId="64EC1E1F" w14:textId="77777777" w:rsidR="000501CA" w:rsidRPr="00341631" w:rsidRDefault="000501CA" w:rsidP="009F4B5C">
            <w:pPr>
              <w:pStyle w:val="BodyText213"/>
              <w:tabs>
                <w:tab w:val="left" w:pos="426"/>
              </w:tabs>
              <w:jc w:val="left"/>
              <w:rPr>
                <w:rFonts w:ascii="Arial" w:hAnsi="Arial"/>
                <w:b/>
                <w:color w:val="auto"/>
                <w:sz w:val="20"/>
              </w:rPr>
            </w:pPr>
          </w:p>
          <w:p w14:paraId="514C7AFB" w14:textId="77777777" w:rsidR="000501CA" w:rsidRPr="00341631" w:rsidRDefault="000501CA" w:rsidP="009F4B5C">
            <w:pPr>
              <w:pStyle w:val="BodyText213"/>
              <w:tabs>
                <w:tab w:val="left" w:pos="426"/>
              </w:tabs>
              <w:jc w:val="left"/>
              <w:rPr>
                <w:rFonts w:ascii="Arial" w:hAnsi="Arial"/>
                <w:b/>
                <w:color w:val="auto"/>
                <w:sz w:val="20"/>
              </w:rPr>
            </w:pPr>
          </w:p>
          <w:p w14:paraId="7E16C25A" w14:textId="77777777" w:rsidR="000501CA" w:rsidRPr="00341631" w:rsidRDefault="000501CA" w:rsidP="009F4B5C">
            <w:pPr>
              <w:pStyle w:val="BodyText213"/>
              <w:tabs>
                <w:tab w:val="left" w:pos="426"/>
              </w:tabs>
              <w:jc w:val="left"/>
              <w:rPr>
                <w:rFonts w:ascii="Arial" w:hAnsi="Arial"/>
                <w:b/>
                <w:color w:val="auto"/>
                <w:sz w:val="20"/>
              </w:rPr>
            </w:pPr>
          </w:p>
          <w:p w14:paraId="4A2AE85C" w14:textId="77777777" w:rsidR="000501CA" w:rsidRPr="00341631" w:rsidRDefault="000501CA" w:rsidP="009F4B5C">
            <w:pPr>
              <w:pStyle w:val="BodyText213"/>
              <w:tabs>
                <w:tab w:val="left" w:pos="426"/>
              </w:tabs>
              <w:jc w:val="left"/>
              <w:rPr>
                <w:rFonts w:ascii="Arial" w:hAnsi="Arial"/>
                <w:b/>
                <w:color w:val="auto"/>
                <w:sz w:val="20"/>
              </w:rPr>
            </w:pPr>
          </w:p>
          <w:p w14:paraId="6B210063" w14:textId="77777777" w:rsidR="000501CA" w:rsidRPr="00341631" w:rsidRDefault="000501CA" w:rsidP="009F4B5C">
            <w:pPr>
              <w:pStyle w:val="BodyText213"/>
              <w:tabs>
                <w:tab w:val="left" w:pos="426"/>
              </w:tabs>
              <w:jc w:val="left"/>
              <w:rPr>
                <w:rFonts w:ascii="Arial" w:hAnsi="Arial"/>
                <w:b/>
                <w:color w:val="auto"/>
                <w:sz w:val="20"/>
              </w:rPr>
            </w:pPr>
          </w:p>
          <w:p w14:paraId="6C18D68A" w14:textId="77777777" w:rsidR="000501CA" w:rsidRPr="00341631" w:rsidRDefault="000501CA" w:rsidP="009F4B5C">
            <w:pPr>
              <w:pStyle w:val="BodyText213"/>
              <w:tabs>
                <w:tab w:val="left" w:pos="426"/>
              </w:tabs>
              <w:jc w:val="left"/>
              <w:rPr>
                <w:rFonts w:ascii="Arial" w:hAnsi="Arial"/>
                <w:b/>
                <w:color w:val="auto"/>
                <w:sz w:val="20"/>
              </w:rPr>
            </w:pPr>
          </w:p>
          <w:p w14:paraId="0FEB60A6" w14:textId="77777777" w:rsidR="000501CA" w:rsidRPr="00341631" w:rsidRDefault="000501CA" w:rsidP="009F4B5C">
            <w:pPr>
              <w:pStyle w:val="BodyText213"/>
              <w:tabs>
                <w:tab w:val="left" w:pos="426"/>
              </w:tabs>
              <w:jc w:val="left"/>
              <w:rPr>
                <w:rFonts w:ascii="Arial" w:hAnsi="Arial"/>
                <w:b/>
                <w:color w:val="auto"/>
                <w:sz w:val="20"/>
              </w:rPr>
            </w:pPr>
          </w:p>
          <w:p w14:paraId="53E7852A" w14:textId="77777777" w:rsidR="000501CA" w:rsidRPr="00341631" w:rsidRDefault="000501CA" w:rsidP="009F4B5C">
            <w:pPr>
              <w:pStyle w:val="BodyText213"/>
              <w:tabs>
                <w:tab w:val="left" w:pos="426"/>
              </w:tabs>
              <w:jc w:val="left"/>
              <w:rPr>
                <w:rFonts w:ascii="Arial" w:hAnsi="Arial"/>
                <w:b/>
                <w:color w:val="auto"/>
                <w:sz w:val="20"/>
              </w:rPr>
            </w:pPr>
          </w:p>
          <w:p w14:paraId="73EC7352" w14:textId="77777777" w:rsidR="000501CA" w:rsidRPr="00341631" w:rsidRDefault="000501CA" w:rsidP="009F4B5C">
            <w:pPr>
              <w:pStyle w:val="BodyText213"/>
              <w:tabs>
                <w:tab w:val="left" w:pos="426"/>
              </w:tabs>
              <w:jc w:val="left"/>
              <w:rPr>
                <w:rFonts w:ascii="Arial" w:hAnsi="Arial"/>
                <w:b/>
                <w:color w:val="auto"/>
                <w:sz w:val="10"/>
                <w:szCs w:val="10"/>
              </w:rPr>
            </w:pPr>
          </w:p>
          <w:p w14:paraId="5111138A" w14:textId="77777777" w:rsidR="003B2624" w:rsidRPr="00341631" w:rsidRDefault="003B2624" w:rsidP="009F4B5C">
            <w:pPr>
              <w:pStyle w:val="BodyText213"/>
              <w:tabs>
                <w:tab w:val="left" w:pos="426"/>
              </w:tabs>
              <w:jc w:val="left"/>
              <w:rPr>
                <w:rFonts w:ascii="Arial" w:hAnsi="Arial"/>
                <w:b/>
                <w:color w:val="auto"/>
                <w:sz w:val="20"/>
              </w:rPr>
            </w:pPr>
          </w:p>
          <w:p w14:paraId="17276DA0" w14:textId="77777777" w:rsidR="003B2624" w:rsidRPr="00341631" w:rsidRDefault="003B2624" w:rsidP="009F4B5C">
            <w:pPr>
              <w:pStyle w:val="BodyText213"/>
              <w:tabs>
                <w:tab w:val="left" w:pos="426"/>
              </w:tabs>
              <w:jc w:val="left"/>
              <w:rPr>
                <w:rFonts w:ascii="Arial" w:hAnsi="Arial"/>
                <w:b/>
                <w:color w:val="auto"/>
                <w:sz w:val="20"/>
              </w:rPr>
            </w:pPr>
          </w:p>
          <w:p w14:paraId="5EA55A75" w14:textId="77777777" w:rsidR="003B2624" w:rsidRPr="00341631" w:rsidRDefault="003B2624" w:rsidP="009F4B5C">
            <w:pPr>
              <w:pStyle w:val="BodyText213"/>
              <w:tabs>
                <w:tab w:val="left" w:pos="426"/>
              </w:tabs>
              <w:jc w:val="left"/>
              <w:rPr>
                <w:rFonts w:ascii="Arial" w:hAnsi="Arial"/>
                <w:b/>
                <w:color w:val="auto"/>
                <w:sz w:val="20"/>
              </w:rPr>
            </w:pPr>
          </w:p>
          <w:p w14:paraId="088C1159" w14:textId="77777777" w:rsidR="000C4AAF" w:rsidRPr="00341631" w:rsidRDefault="000C4AAF" w:rsidP="009F4B5C">
            <w:pPr>
              <w:pStyle w:val="BodyText213"/>
              <w:tabs>
                <w:tab w:val="left" w:pos="426"/>
              </w:tabs>
              <w:jc w:val="left"/>
              <w:rPr>
                <w:rFonts w:ascii="Arial" w:hAnsi="Arial"/>
                <w:b/>
                <w:color w:val="auto"/>
                <w:sz w:val="20"/>
              </w:rPr>
            </w:pPr>
          </w:p>
          <w:p w14:paraId="275AAD22" w14:textId="77777777" w:rsidR="004F1DD6" w:rsidRDefault="004F1DD6" w:rsidP="00B45AEA">
            <w:pPr>
              <w:pStyle w:val="BodyText213"/>
              <w:tabs>
                <w:tab w:val="left" w:pos="426"/>
              </w:tabs>
              <w:jc w:val="left"/>
              <w:rPr>
                <w:rFonts w:ascii="Arial" w:hAnsi="Arial"/>
                <w:b/>
                <w:color w:val="auto"/>
                <w:sz w:val="20"/>
              </w:rPr>
            </w:pPr>
          </w:p>
          <w:p w14:paraId="7AA76DB0" w14:textId="77777777" w:rsidR="00FC03C6" w:rsidRDefault="00FC03C6" w:rsidP="00B45AEA">
            <w:pPr>
              <w:pStyle w:val="BodyText213"/>
              <w:tabs>
                <w:tab w:val="left" w:pos="426"/>
              </w:tabs>
              <w:jc w:val="left"/>
              <w:rPr>
                <w:rFonts w:ascii="Arial" w:hAnsi="Arial"/>
                <w:b/>
                <w:color w:val="auto"/>
                <w:sz w:val="20"/>
              </w:rPr>
            </w:pPr>
          </w:p>
          <w:p w14:paraId="64BEB748" w14:textId="7CD5990F" w:rsidR="000501CA" w:rsidRPr="00341631" w:rsidRDefault="000501CA" w:rsidP="00B45AEA">
            <w:pPr>
              <w:pStyle w:val="BodyText213"/>
              <w:tabs>
                <w:tab w:val="left" w:pos="426"/>
              </w:tabs>
              <w:jc w:val="left"/>
              <w:rPr>
                <w:rFonts w:ascii="Arial" w:hAnsi="Arial"/>
                <w:b/>
                <w:color w:val="auto"/>
                <w:sz w:val="20"/>
              </w:rPr>
            </w:pPr>
            <w:r w:rsidRPr="00341631">
              <w:rPr>
                <w:rFonts w:ascii="Arial" w:hAnsi="Arial"/>
                <w:b/>
                <w:color w:val="auto"/>
                <w:sz w:val="20"/>
              </w:rPr>
              <w:t>V prie</w:t>
            </w:r>
            <w:r w:rsidRPr="00341631">
              <w:rPr>
                <w:rFonts w:ascii="Arial" w:hAnsi="Arial"/>
                <w:b/>
                <w:color w:val="auto"/>
                <w:sz w:val="20"/>
              </w:rPr>
              <w:softHyphen/>
              <w:t>me</w:t>
            </w:r>
            <w:r w:rsidRPr="00341631">
              <w:rPr>
                <w:rFonts w:ascii="Arial" w:hAnsi="Arial"/>
                <w:b/>
                <w:color w:val="auto"/>
                <w:sz w:val="20"/>
              </w:rPr>
              <w:softHyphen/>
              <w:t>re bola</w:t>
            </w:r>
            <w:r w:rsidR="00DD479B">
              <w:rPr>
                <w:rFonts w:ascii="Arial" w:hAnsi="Arial"/>
                <w:b/>
                <w:color w:val="auto"/>
                <w:sz w:val="20"/>
              </w:rPr>
              <w:t xml:space="preserve">     </w:t>
            </w:r>
            <w:r w:rsidRPr="00341631">
              <w:rPr>
                <w:rFonts w:ascii="Arial" w:hAnsi="Arial"/>
                <w:b/>
                <w:color w:val="auto"/>
                <w:sz w:val="20"/>
              </w:rPr>
              <w:t xml:space="preserve">medziročná miera inflácie </w:t>
            </w:r>
            <w:r w:rsidR="004446B4">
              <w:rPr>
                <w:rFonts w:ascii="Arial" w:hAnsi="Arial"/>
                <w:b/>
                <w:color w:val="auto"/>
                <w:sz w:val="20"/>
              </w:rPr>
              <w:t>3,8</w:t>
            </w:r>
            <w:r w:rsidRPr="00341631">
              <w:rPr>
                <w:rFonts w:ascii="Arial" w:hAnsi="Arial"/>
                <w:b/>
                <w:color w:val="auto"/>
                <w:sz w:val="20"/>
              </w:rPr>
              <w:t xml:space="preserve"> %.</w:t>
            </w:r>
          </w:p>
        </w:tc>
      </w:tr>
      <w:tr w:rsidR="0059397C" w:rsidRPr="009D750F" w14:paraId="12AA1A74" w14:textId="77777777" w:rsidTr="0086682D">
        <w:trPr>
          <w:gridAfter w:val="1"/>
          <w:wAfter w:w="52" w:type="dxa"/>
          <w:trHeight w:hRule="exact" w:val="80"/>
        </w:trPr>
        <w:tc>
          <w:tcPr>
            <w:tcW w:w="6892" w:type="dxa"/>
            <w:gridSpan w:val="4"/>
            <w:tcBorders>
              <w:top w:val="nil"/>
              <w:left w:val="nil"/>
              <w:bottom w:val="nil"/>
              <w:right w:val="nil"/>
            </w:tcBorders>
          </w:tcPr>
          <w:p w14:paraId="67BC6CD0" w14:textId="77777777" w:rsidR="00F61300" w:rsidRPr="009D750F" w:rsidRDefault="00F61300" w:rsidP="009F4B5C">
            <w:pPr>
              <w:tabs>
                <w:tab w:val="left" w:pos="426"/>
              </w:tabs>
              <w:rPr>
                <w:rFonts w:ascii="Arial" w:hAnsi="Arial" w:cs="Arial"/>
                <w:sz w:val="21"/>
                <w:szCs w:val="21"/>
              </w:rPr>
            </w:pPr>
          </w:p>
        </w:tc>
        <w:tc>
          <w:tcPr>
            <w:tcW w:w="103" w:type="dxa"/>
            <w:tcBorders>
              <w:top w:val="nil"/>
              <w:left w:val="nil"/>
              <w:bottom w:val="nil"/>
              <w:right w:val="nil"/>
            </w:tcBorders>
          </w:tcPr>
          <w:p w14:paraId="42A747C5" w14:textId="77777777" w:rsidR="00190E0F" w:rsidRPr="009D750F" w:rsidRDefault="00190E0F" w:rsidP="009F4B5C">
            <w:pPr>
              <w:tabs>
                <w:tab w:val="left" w:pos="426"/>
              </w:tabs>
              <w:rPr>
                <w:rFonts w:ascii="Arial" w:hAnsi="Arial"/>
              </w:rPr>
            </w:pPr>
          </w:p>
        </w:tc>
        <w:tc>
          <w:tcPr>
            <w:tcW w:w="2296" w:type="dxa"/>
            <w:tcBorders>
              <w:top w:val="nil"/>
              <w:left w:val="nil"/>
              <w:bottom w:val="nil"/>
              <w:right w:val="nil"/>
            </w:tcBorders>
          </w:tcPr>
          <w:p w14:paraId="26793319" w14:textId="77777777" w:rsidR="00190E0F" w:rsidRPr="009D750F" w:rsidRDefault="00190E0F" w:rsidP="009F4B5C">
            <w:pPr>
              <w:pStyle w:val="BodyText213"/>
              <w:tabs>
                <w:tab w:val="left" w:pos="426"/>
              </w:tabs>
              <w:jc w:val="left"/>
              <w:rPr>
                <w:rFonts w:ascii="Arial" w:hAnsi="Arial"/>
                <w:b/>
                <w:color w:val="auto"/>
                <w:sz w:val="20"/>
              </w:rPr>
            </w:pPr>
          </w:p>
        </w:tc>
      </w:tr>
      <w:tr w:rsidR="0059397C" w:rsidRPr="009D750F" w14:paraId="7FB2E86E" w14:textId="77777777" w:rsidTr="0086682D">
        <w:trPr>
          <w:gridAfter w:val="1"/>
          <w:wAfter w:w="52" w:type="dxa"/>
          <w:trHeight w:hRule="exact" w:val="80"/>
        </w:trPr>
        <w:tc>
          <w:tcPr>
            <w:tcW w:w="6892" w:type="dxa"/>
            <w:gridSpan w:val="4"/>
            <w:tcBorders>
              <w:top w:val="nil"/>
              <w:left w:val="nil"/>
              <w:bottom w:val="nil"/>
              <w:right w:val="nil"/>
            </w:tcBorders>
          </w:tcPr>
          <w:p w14:paraId="22C59BD9" w14:textId="77777777" w:rsidR="006A3174" w:rsidRPr="009D750F" w:rsidRDefault="006A3174" w:rsidP="009F4B5C">
            <w:pPr>
              <w:pStyle w:val="Zkladntext210"/>
              <w:tabs>
                <w:tab w:val="left" w:pos="426"/>
              </w:tabs>
              <w:rPr>
                <w:rFonts w:ascii="Arial" w:hAnsi="Arial" w:cs="Arial"/>
                <w:szCs w:val="21"/>
              </w:rPr>
            </w:pPr>
          </w:p>
        </w:tc>
        <w:tc>
          <w:tcPr>
            <w:tcW w:w="103" w:type="dxa"/>
            <w:tcBorders>
              <w:top w:val="nil"/>
              <w:left w:val="nil"/>
              <w:bottom w:val="nil"/>
              <w:right w:val="nil"/>
            </w:tcBorders>
          </w:tcPr>
          <w:p w14:paraId="11F8A728" w14:textId="77777777" w:rsidR="006A3174" w:rsidRPr="009D750F" w:rsidRDefault="006A3174" w:rsidP="009F4B5C">
            <w:pPr>
              <w:tabs>
                <w:tab w:val="left" w:pos="426"/>
              </w:tabs>
              <w:rPr>
                <w:rFonts w:ascii="Arial" w:hAnsi="Arial"/>
              </w:rPr>
            </w:pPr>
          </w:p>
        </w:tc>
        <w:tc>
          <w:tcPr>
            <w:tcW w:w="2296" w:type="dxa"/>
            <w:tcBorders>
              <w:top w:val="nil"/>
              <w:left w:val="nil"/>
              <w:bottom w:val="nil"/>
              <w:right w:val="nil"/>
            </w:tcBorders>
          </w:tcPr>
          <w:p w14:paraId="0B315C69" w14:textId="77777777" w:rsidR="006A3174" w:rsidRPr="009D750F" w:rsidRDefault="006A3174" w:rsidP="009F4B5C">
            <w:pPr>
              <w:pStyle w:val="BodyText215"/>
              <w:tabs>
                <w:tab w:val="left" w:pos="426"/>
              </w:tabs>
              <w:rPr>
                <w:rFonts w:ascii="Arial" w:hAnsi="Arial"/>
              </w:rPr>
            </w:pPr>
          </w:p>
        </w:tc>
      </w:tr>
      <w:tr w:rsidR="0059397C" w:rsidRPr="009D750F" w14:paraId="5ECCDA7E" w14:textId="77777777" w:rsidTr="0086682D">
        <w:trPr>
          <w:gridAfter w:val="1"/>
          <w:wAfter w:w="52" w:type="dxa"/>
          <w:trHeight w:hRule="exact" w:val="80"/>
        </w:trPr>
        <w:tc>
          <w:tcPr>
            <w:tcW w:w="6892" w:type="dxa"/>
            <w:gridSpan w:val="4"/>
            <w:tcBorders>
              <w:top w:val="nil"/>
              <w:left w:val="nil"/>
              <w:bottom w:val="nil"/>
              <w:right w:val="nil"/>
            </w:tcBorders>
          </w:tcPr>
          <w:p w14:paraId="0D8BBE52" w14:textId="77777777" w:rsidR="001B1638" w:rsidRPr="009D750F" w:rsidRDefault="001B1638" w:rsidP="009F4B5C">
            <w:pPr>
              <w:pStyle w:val="Zkladntext21"/>
              <w:tabs>
                <w:tab w:val="left" w:pos="426"/>
              </w:tabs>
              <w:spacing w:after="0"/>
              <w:ind w:left="0"/>
              <w:rPr>
                <w:rFonts w:ascii="Arial" w:hAnsi="Arial"/>
                <w:sz w:val="21"/>
                <w:szCs w:val="21"/>
              </w:rPr>
            </w:pPr>
          </w:p>
        </w:tc>
        <w:tc>
          <w:tcPr>
            <w:tcW w:w="103" w:type="dxa"/>
            <w:tcBorders>
              <w:top w:val="nil"/>
              <w:left w:val="nil"/>
              <w:bottom w:val="nil"/>
              <w:right w:val="nil"/>
            </w:tcBorders>
          </w:tcPr>
          <w:p w14:paraId="45111B18" w14:textId="77777777" w:rsidR="001B1638" w:rsidRPr="009D750F" w:rsidRDefault="001B1638" w:rsidP="009F4B5C">
            <w:pPr>
              <w:tabs>
                <w:tab w:val="left" w:pos="426"/>
              </w:tabs>
              <w:rPr>
                <w:rFonts w:ascii="Arial" w:hAnsi="Arial"/>
              </w:rPr>
            </w:pPr>
          </w:p>
        </w:tc>
        <w:tc>
          <w:tcPr>
            <w:tcW w:w="2296" w:type="dxa"/>
            <w:tcBorders>
              <w:top w:val="nil"/>
              <w:left w:val="nil"/>
              <w:bottom w:val="nil"/>
              <w:right w:val="nil"/>
            </w:tcBorders>
          </w:tcPr>
          <w:p w14:paraId="3C493040" w14:textId="77777777" w:rsidR="001B1638" w:rsidRPr="009D750F" w:rsidRDefault="001B1638" w:rsidP="009F4B5C">
            <w:pPr>
              <w:pStyle w:val="BodyText215"/>
              <w:tabs>
                <w:tab w:val="left" w:pos="426"/>
              </w:tabs>
              <w:rPr>
                <w:rFonts w:ascii="Arial" w:hAnsi="Arial"/>
              </w:rPr>
            </w:pPr>
          </w:p>
        </w:tc>
      </w:tr>
      <w:tr w:rsidR="0059397C" w:rsidRPr="009D750F" w14:paraId="03412AE1" w14:textId="77777777" w:rsidTr="0086682D">
        <w:trPr>
          <w:gridAfter w:val="1"/>
          <w:wAfter w:w="52" w:type="dxa"/>
          <w:trHeight w:hRule="exact" w:val="80"/>
        </w:trPr>
        <w:tc>
          <w:tcPr>
            <w:tcW w:w="6892" w:type="dxa"/>
            <w:gridSpan w:val="4"/>
            <w:tcBorders>
              <w:top w:val="nil"/>
              <w:left w:val="nil"/>
              <w:bottom w:val="nil"/>
              <w:right w:val="nil"/>
            </w:tcBorders>
          </w:tcPr>
          <w:p w14:paraId="73E70C68" w14:textId="77777777" w:rsidR="00D76DA7" w:rsidRPr="009D750F" w:rsidRDefault="00D76DA7" w:rsidP="009F4B5C">
            <w:pPr>
              <w:pStyle w:val="Zkladntext21"/>
              <w:tabs>
                <w:tab w:val="left" w:pos="426"/>
              </w:tabs>
              <w:spacing w:after="0"/>
              <w:ind w:left="0"/>
              <w:rPr>
                <w:rFonts w:ascii="Arial" w:hAnsi="Arial"/>
                <w:sz w:val="21"/>
                <w:szCs w:val="21"/>
              </w:rPr>
            </w:pPr>
          </w:p>
        </w:tc>
        <w:tc>
          <w:tcPr>
            <w:tcW w:w="103" w:type="dxa"/>
            <w:tcBorders>
              <w:top w:val="nil"/>
              <w:left w:val="nil"/>
              <w:bottom w:val="nil"/>
              <w:right w:val="nil"/>
            </w:tcBorders>
          </w:tcPr>
          <w:p w14:paraId="01D3DC8F" w14:textId="77777777" w:rsidR="001B1638" w:rsidRPr="009D750F" w:rsidRDefault="001B1638" w:rsidP="009F4B5C">
            <w:pPr>
              <w:tabs>
                <w:tab w:val="left" w:pos="426"/>
              </w:tabs>
              <w:rPr>
                <w:rFonts w:ascii="Arial" w:hAnsi="Arial"/>
              </w:rPr>
            </w:pPr>
          </w:p>
        </w:tc>
        <w:tc>
          <w:tcPr>
            <w:tcW w:w="2296" w:type="dxa"/>
            <w:tcBorders>
              <w:top w:val="nil"/>
              <w:left w:val="nil"/>
              <w:bottom w:val="nil"/>
              <w:right w:val="nil"/>
            </w:tcBorders>
          </w:tcPr>
          <w:p w14:paraId="37C10748" w14:textId="77777777" w:rsidR="00D76DA7" w:rsidRPr="009D750F" w:rsidRDefault="00D76DA7" w:rsidP="009F4B5C">
            <w:pPr>
              <w:pStyle w:val="BodyText215"/>
              <w:tabs>
                <w:tab w:val="left" w:pos="426"/>
              </w:tabs>
              <w:rPr>
                <w:rFonts w:ascii="Arial" w:hAnsi="Arial"/>
              </w:rPr>
            </w:pPr>
          </w:p>
        </w:tc>
      </w:tr>
      <w:tr w:rsidR="00EF5607" w:rsidRPr="009D750F" w14:paraId="553CA722" w14:textId="77777777" w:rsidTr="003D7206">
        <w:trPr>
          <w:trHeight w:hRule="exact" w:val="142"/>
        </w:trPr>
        <w:tc>
          <w:tcPr>
            <w:tcW w:w="2443" w:type="dxa"/>
            <w:tcBorders>
              <w:top w:val="nil"/>
              <w:left w:val="nil"/>
              <w:bottom w:val="nil"/>
              <w:right w:val="nil"/>
            </w:tcBorders>
          </w:tcPr>
          <w:p w14:paraId="7616BC6C" w14:textId="77777777" w:rsidR="001B1638" w:rsidRPr="009D750F" w:rsidRDefault="001B1638" w:rsidP="009F4B5C">
            <w:pPr>
              <w:pStyle w:val="BodyText28"/>
              <w:tabs>
                <w:tab w:val="left" w:pos="426"/>
              </w:tabs>
              <w:jc w:val="left"/>
              <w:rPr>
                <w:b/>
                <w:sz w:val="20"/>
              </w:rPr>
            </w:pPr>
          </w:p>
        </w:tc>
        <w:tc>
          <w:tcPr>
            <w:tcW w:w="109" w:type="dxa"/>
            <w:gridSpan w:val="2"/>
            <w:tcBorders>
              <w:top w:val="nil"/>
              <w:left w:val="nil"/>
              <w:bottom w:val="nil"/>
              <w:right w:val="nil"/>
            </w:tcBorders>
          </w:tcPr>
          <w:p w14:paraId="61476E66" w14:textId="77777777" w:rsidR="001B1638" w:rsidRPr="009D750F" w:rsidRDefault="001B1638" w:rsidP="009F4B5C">
            <w:pPr>
              <w:tabs>
                <w:tab w:val="left" w:pos="426"/>
              </w:tabs>
              <w:rPr>
                <w:rFonts w:ascii="Arial" w:hAnsi="Arial"/>
              </w:rPr>
            </w:pPr>
          </w:p>
        </w:tc>
        <w:tc>
          <w:tcPr>
            <w:tcW w:w="6791" w:type="dxa"/>
            <w:gridSpan w:val="4"/>
            <w:tcBorders>
              <w:top w:val="nil"/>
              <w:left w:val="nil"/>
              <w:bottom w:val="nil"/>
              <w:right w:val="nil"/>
            </w:tcBorders>
          </w:tcPr>
          <w:p w14:paraId="0C6336DE" w14:textId="77777777" w:rsidR="00EF5607" w:rsidRPr="009D750F" w:rsidRDefault="00EF5607" w:rsidP="009F4B5C">
            <w:pPr>
              <w:pStyle w:val="Zkladntext210"/>
              <w:tabs>
                <w:tab w:val="left" w:pos="426"/>
              </w:tabs>
              <w:rPr>
                <w:rFonts w:ascii="Arial" w:hAnsi="Arial" w:cs="Arial"/>
                <w:sz w:val="10"/>
                <w:szCs w:val="10"/>
              </w:rPr>
            </w:pPr>
          </w:p>
        </w:tc>
      </w:tr>
      <w:tr w:rsidR="0059397C" w:rsidRPr="009D750F" w14:paraId="4BD0B796" w14:textId="77777777" w:rsidTr="0051301A">
        <w:trPr>
          <w:trHeight w:hRule="exact" w:val="80"/>
        </w:trPr>
        <w:tc>
          <w:tcPr>
            <w:tcW w:w="2443" w:type="dxa"/>
            <w:tcBorders>
              <w:top w:val="nil"/>
              <w:left w:val="nil"/>
              <w:bottom w:val="nil"/>
              <w:right w:val="nil"/>
            </w:tcBorders>
          </w:tcPr>
          <w:p w14:paraId="12E49DF1" w14:textId="77777777" w:rsidR="00F10286" w:rsidRPr="009D750F" w:rsidRDefault="00F10286" w:rsidP="009F4B5C">
            <w:pPr>
              <w:pStyle w:val="BodyText28"/>
              <w:tabs>
                <w:tab w:val="left" w:pos="426"/>
              </w:tabs>
              <w:jc w:val="left"/>
              <w:rPr>
                <w:b/>
                <w:sz w:val="20"/>
              </w:rPr>
            </w:pPr>
          </w:p>
        </w:tc>
        <w:tc>
          <w:tcPr>
            <w:tcW w:w="96" w:type="dxa"/>
            <w:tcBorders>
              <w:top w:val="nil"/>
              <w:left w:val="nil"/>
              <w:bottom w:val="nil"/>
              <w:right w:val="nil"/>
            </w:tcBorders>
          </w:tcPr>
          <w:p w14:paraId="678BF12D" w14:textId="77777777" w:rsidR="00F10286" w:rsidRPr="009D750F" w:rsidRDefault="00F10286" w:rsidP="009F4B5C">
            <w:pPr>
              <w:tabs>
                <w:tab w:val="left" w:pos="426"/>
              </w:tabs>
              <w:rPr>
                <w:rFonts w:ascii="Arial" w:hAnsi="Arial"/>
              </w:rPr>
            </w:pPr>
          </w:p>
        </w:tc>
        <w:tc>
          <w:tcPr>
            <w:tcW w:w="6804" w:type="dxa"/>
            <w:gridSpan w:val="5"/>
            <w:tcBorders>
              <w:top w:val="nil"/>
              <w:left w:val="nil"/>
              <w:bottom w:val="nil"/>
              <w:right w:val="nil"/>
            </w:tcBorders>
          </w:tcPr>
          <w:p w14:paraId="7EB04840" w14:textId="77777777" w:rsidR="00F10286" w:rsidRPr="009D750F" w:rsidRDefault="00F10286" w:rsidP="009F4B5C">
            <w:pPr>
              <w:pStyle w:val="Zkladntext21"/>
              <w:tabs>
                <w:tab w:val="left" w:pos="426"/>
              </w:tabs>
              <w:spacing w:after="0"/>
              <w:ind w:left="0" w:firstLine="284"/>
              <w:rPr>
                <w:rFonts w:ascii="Arial" w:hAnsi="Arial"/>
                <w:sz w:val="21"/>
                <w:szCs w:val="21"/>
              </w:rPr>
            </w:pPr>
          </w:p>
        </w:tc>
      </w:tr>
      <w:tr w:rsidR="00504FB7" w:rsidRPr="00504FB7" w14:paraId="45479DFE" w14:textId="77777777" w:rsidTr="00701329">
        <w:trPr>
          <w:trHeight w:hRule="exact" w:val="3519"/>
        </w:trPr>
        <w:tc>
          <w:tcPr>
            <w:tcW w:w="2443" w:type="dxa"/>
            <w:tcBorders>
              <w:top w:val="nil"/>
              <w:left w:val="nil"/>
              <w:bottom w:val="nil"/>
              <w:right w:val="nil"/>
            </w:tcBorders>
          </w:tcPr>
          <w:p w14:paraId="211FC48B" w14:textId="0E59C6E1" w:rsidR="00513C22" w:rsidRPr="007A3631" w:rsidRDefault="00513C22" w:rsidP="009F4B5C">
            <w:pPr>
              <w:pStyle w:val="BodyText28"/>
              <w:tabs>
                <w:tab w:val="left" w:pos="426"/>
              </w:tabs>
              <w:jc w:val="left"/>
              <w:rPr>
                <w:b/>
                <w:color w:val="2E74B5" w:themeColor="accent1" w:themeShade="BF"/>
                <w:sz w:val="20"/>
              </w:rPr>
            </w:pPr>
            <w:r w:rsidRPr="00F66CCB">
              <w:rPr>
                <w:b/>
                <w:sz w:val="20"/>
              </w:rPr>
              <w:t>Počet pracujúcich (pod</w:t>
            </w:r>
            <w:r w:rsidR="00ED060F" w:rsidRPr="00F66CCB">
              <w:rPr>
                <w:b/>
                <w:sz w:val="20"/>
              </w:rPr>
              <w:t xml:space="preserve">ľa VZPS) </w:t>
            </w:r>
            <w:r w:rsidRPr="00F66CCB">
              <w:rPr>
                <w:b/>
                <w:sz w:val="20"/>
              </w:rPr>
              <w:t xml:space="preserve">medziročne </w:t>
            </w:r>
            <w:r w:rsidR="00C038ED">
              <w:rPr>
                <w:b/>
                <w:sz w:val="20"/>
              </w:rPr>
              <w:t>klesol</w:t>
            </w:r>
            <w:r w:rsidRPr="00F66CCB">
              <w:rPr>
                <w:b/>
                <w:sz w:val="20"/>
              </w:rPr>
              <w:t xml:space="preserve"> o</w:t>
            </w:r>
            <w:r w:rsidR="00063016" w:rsidRPr="00F66CCB">
              <w:rPr>
                <w:b/>
                <w:sz w:val="20"/>
              </w:rPr>
              <w:t> 0,</w:t>
            </w:r>
            <w:r w:rsidR="004446B4">
              <w:rPr>
                <w:b/>
                <w:sz w:val="20"/>
              </w:rPr>
              <w:t>8</w:t>
            </w:r>
            <w:r w:rsidR="00345B3D">
              <w:rPr>
                <w:b/>
                <w:sz w:val="20"/>
              </w:rPr>
              <w:t> </w:t>
            </w:r>
            <w:r w:rsidRPr="00F66CCB">
              <w:rPr>
                <w:b/>
                <w:sz w:val="20"/>
              </w:rPr>
              <w:t>%.</w:t>
            </w:r>
          </w:p>
          <w:p w14:paraId="5AC3D42C" w14:textId="77777777" w:rsidR="00513C22" w:rsidRPr="00504FB7" w:rsidRDefault="00513C22" w:rsidP="009F4B5C">
            <w:pPr>
              <w:pStyle w:val="BodyText28"/>
              <w:tabs>
                <w:tab w:val="left" w:pos="426"/>
              </w:tabs>
              <w:jc w:val="left"/>
              <w:rPr>
                <w:b/>
                <w:sz w:val="20"/>
              </w:rPr>
            </w:pPr>
          </w:p>
        </w:tc>
        <w:tc>
          <w:tcPr>
            <w:tcW w:w="96" w:type="dxa"/>
            <w:tcBorders>
              <w:top w:val="nil"/>
              <w:left w:val="nil"/>
              <w:bottom w:val="nil"/>
              <w:right w:val="nil"/>
            </w:tcBorders>
          </w:tcPr>
          <w:p w14:paraId="25AF875C" w14:textId="77777777" w:rsidR="00513C22" w:rsidRPr="00504FB7" w:rsidRDefault="00513C22" w:rsidP="009F4B5C">
            <w:pPr>
              <w:tabs>
                <w:tab w:val="left" w:pos="426"/>
              </w:tabs>
              <w:rPr>
                <w:rFonts w:ascii="Arial" w:hAnsi="Arial"/>
              </w:rPr>
            </w:pPr>
          </w:p>
        </w:tc>
        <w:tc>
          <w:tcPr>
            <w:tcW w:w="6804" w:type="dxa"/>
            <w:gridSpan w:val="5"/>
            <w:tcBorders>
              <w:top w:val="nil"/>
              <w:left w:val="nil"/>
              <w:bottom w:val="nil"/>
              <w:right w:val="nil"/>
            </w:tcBorders>
          </w:tcPr>
          <w:p w14:paraId="18CA6685" w14:textId="5F94A22C" w:rsidR="00063016" w:rsidRPr="008B5BC4" w:rsidRDefault="00DD479B" w:rsidP="00063016">
            <w:pPr>
              <w:pStyle w:val="Zkladntext21"/>
              <w:tabs>
                <w:tab w:val="left" w:pos="426"/>
              </w:tabs>
              <w:ind w:left="0"/>
              <w:rPr>
                <w:rFonts w:ascii="Arial" w:hAnsi="Arial" w:cs="Arial"/>
                <w:color w:val="EE0000"/>
                <w:sz w:val="21"/>
                <w:szCs w:val="21"/>
              </w:rPr>
            </w:pPr>
            <w:r w:rsidRPr="009F2CAE">
              <w:rPr>
                <w:rFonts w:ascii="Arial" w:hAnsi="Arial" w:cs="Arial"/>
                <w:color w:val="EE0000"/>
                <w:sz w:val="21"/>
                <w:szCs w:val="21"/>
              </w:rPr>
              <w:t xml:space="preserve">  </w:t>
            </w:r>
            <w:r w:rsidR="008C0CB5" w:rsidRPr="009F2CAE">
              <w:rPr>
                <w:rFonts w:ascii="Arial" w:hAnsi="Arial" w:cs="Arial"/>
                <w:color w:val="EE0000"/>
                <w:sz w:val="21"/>
                <w:szCs w:val="21"/>
              </w:rPr>
              <w:t xml:space="preserve"> </w:t>
            </w:r>
            <w:r w:rsidR="003D7206" w:rsidRPr="0024764F">
              <w:rPr>
                <w:rFonts w:ascii="Arial" w:hAnsi="Arial" w:cs="Arial"/>
                <w:spacing w:val="-2"/>
                <w:sz w:val="21"/>
                <w:szCs w:val="21"/>
              </w:rPr>
              <w:t>Zamestnanosť</w:t>
            </w:r>
            <w:r w:rsidR="003D7206" w:rsidRPr="0024764F">
              <w:rPr>
                <w:rFonts w:ascii="Arial" w:hAnsi="Arial" w:cs="Arial"/>
                <w:i/>
                <w:sz w:val="21"/>
                <w:szCs w:val="21"/>
              </w:rPr>
              <w:t xml:space="preserve"> </w:t>
            </w:r>
            <w:r w:rsidR="003D7206" w:rsidRPr="0024764F">
              <w:rPr>
                <w:rFonts w:ascii="Arial" w:hAnsi="Arial" w:cs="Arial"/>
                <w:spacing w:val="-2"/>
                <w:sz w:val="21"/>
                <w:szCs w:val="21"/>
              </w:rPr>
              <w:t>pod</w:t>
            </w:r>
            <w:r w:rsidR="003D7206" w:rsidRPr="0024764F">
              <w:rPr>
                <w:rFonts w:ascii="Arial" w:hAnsi="Arial" w:cs="Arial"/>
                <w:sz w:val="21"/>
                <w:szCs w:val="21"/>
              </w:rPr>
              <w:t xml:space="preserve">ľa Výberového zisťovania pracovných síl (VZPS)  </w:t>
            </w:r>
            <w:r w:rsidR="007A3631" w:rsidRPr="0024764F">
              <w:rPr>
                <w:rFonts w:ascii="Arial" w:hAnsi="Arial" w:cs="Arial"/>
                <w:sz w:val="21"/>
                <w:szCs w:val="21"/>
              </w:rPr>
              <w:t>v</w:t>
            </w:r>
            <w:r w:rsidR="004446B4" w:rsidRPr="0024764F">
              <w:rPr>
                <w:rFonts w:ascii="Arial" w:hAnsi="Arial" w:cs="Arial"/>
                <w:sz w:val="21"/>
                <w:szCs w:val="21"/>
              </w:rPr>
              <w:t>o</w:t>
            </w:r>
            <w:r w:rsidR="003D7206" w:rsidRPr="0024764F">
              <w:rPr>
                <w:rFonts w:ascii="Arial" w:hAnsi="Arial" w:cs="Arial"/>
                <w:sz w:val="21"/>
                <w:szCs w:val="21"/>
              </w:rPr>
              <w:t> </w:t>
            </w:r>
            <w:r w:rsidR="004446B4" w:rsidRPr="0024764F">
              <w:rPr>
                <w:rFonts w:ascii="Arial" w:hAnsi="Arial" w:cs="Arial"/>
                <w:sz w:val="21"/>
                <w:szCs w:val="21"/>
              </w:rPr>
              <w:t>4</w:t>
            </w:r>
            <w:r w:rsidR="003D7206" w:rsidRPr="0024764F">
              <w:rPr>
                <w:rFonts w:ascii="Arial" w:hAnsi="Arial" w:cs="Arial"/>
                <w:sz w:val="21"/>
                <w:szCs w:val="21"/>
              </w:rPr>
              <w:t>.</w:t>
            </w:r>
            <w:r w:rsidR="00371545" w:rsidRPr="0024764F">
              <w:rPr>
                <w:rFonts w:ascii="Arial" w:hAnsi="Arial" w:cs="Arial"/>
                <w:sz w:val="21"/>
                <w:szCs w:val="21"/>
              </w:rPr>
              <w:t> </w:t>
            </w:r>
            <w:r w:rsidR="003D7206" w:rsidRPr="0024764F">
              <w:rPr>
                <w:rFonts w:ascii="Arial" w:hAnsi="Arial" w:cs="Arial"/>
                <w:sz w:val="21"/>
                <w:szCs w:val="21"/>
              </w:rPr>
              <w:t>štvrťroku 202</w:t>
            </w:r>
            <w:r w:rsidR="00931393" w:rsidRPr="0024764F">
              <w:rPr>
                <w:rFonts w:ascii="Arial" w:hAnsi="Arial" w:cs="Arial"/>
                <w:sz w:val="21"/>
                <w:szCs w:val="21"/>
              </w:rPr>
              <w:t>5</w:t>
            </w:r>
            <w:r w:rsidR="003D7206" w:rsidRPr="0024764F">
              <w:rPr>
                <w:rFonts w:ascii="Arial" w:hAnsi="Arial" w:cs="Arial"/>
                <w:sz w:val="21"/>
                <w:szCs w:val="21"/>
              </w:rPr>
              <w:t xml:space="preserve"> medziročne </w:t>
            </w:r>
            <w:r w:rsidR="00077362" w:rsidRPr="0024764F">
              <w:rPr>
                <w:rFonts w:ascii="Arial" w:hAnsi="Arial" w:cs="Arial"/>
                <w:sz w:val="21"/>
                <w:szCs w:val="21"/>
              </w:rPr>
              <w:t>mierne klesla</w:t>
            </w:r>
            <w:r w:rsidR="00931393" w:rsidRPr="0024764F">
              <w:rPr>
                <w:rFonts w:ascii="Arial" w:hAnsi="Arial" w:cs="Arial"/>
                <w:sz w:val="21"/>
                <w:szCs w:val="21"/>
              </w:rPr>
              <w:t xml:space="preserve"> </w:t>
            </w:r>
            <w:r w:rsidR="003D7206" w:rsidRPr="0024764F">
              <w:rPr>
                <w:rFonts w:ascii="Arial" w:hAnsi="Arial" w:cs="Arial"/>
                <w:sz w:val="21"/>
                <w:szCs w:val="21"/>
              </w:rPr>
              <w:t>o</w:t>
            </w:r>
            <w:r w:rsidR="00063016" w:rsidRPr="0024764F">
              <w:rPr>
                <w:rFonts w:ascii="Arial" w:hAnsi="Arial" w:cs="Arial"/>
                <w:sz w:val="21"/>
                <w:szCs w:val="21"/>
              </w:rPr>
              <w:t> 0,</w:t>
            </w:r>
            <w:r w:rsidR="0024764F" w:rsidRPr="0024764F">
              <w:rPr>
                <w:rFonts w:ascii="Arial" w:hAnsi="Arial" w:cs="Arial"/>
                <w:sz w:val="21"/>
                <w:szCs w:val="21"/>
              </w:rPr>
              <w:t>8 </w:t>
            </w:r>
            <w:r w:rsidR="003D7206" w:rsidRPr="0024764F">
              <w:rPr>
                <w:rFonts w:ascii="Arial" w:hAnsi="Arial" w:cs="Arial"/>
                <w:sz w:val="21"/>
                <w:szCs w:val="21"/>
              </w:rPr>
              <w:t>%, počet pracujúcich</w:t>
            </w:r>
            <w:r w:rsidR="003D7206" w:rsidRPr="0024764F">
              <w:rPr>
                <w:rStyle w:val="Odkaznapoznmkupodiarou"/>
                <w:rFonts w:ascii="Arial" w:hAnsi="Arial" w:cs="Arial"/>
                <w:szCs w:val="16"/>
              </w:rPr>
              <w:footnoteReference w:id="4"/>
            </w:r>
            <w:r w:rsidR="003D7206" w:rsidRPr="0024764F">
              <w:rPr>
                <w:rStyle w:val="Odkaznapoznmkupodiarou"/>
                <w:rFonts w:ascii="Arial" w:hAnsi="Arial" w:cs="Arial"/>
                <w:szCs w:val="16"/>
              </w:rPr>
              <w:t>)</w:t>
            </w:r>
            <w:r w:rsidR="003D7206" w:rsidRPr="0024764F">
              <w:rPr>
                <w:rFonts w:ascii="Arial" w:hAnsi="Arial" w:cs="Arial"/>
                <w:sz w:val="21"/>
                <w:szCs w:val="21"/>
              </w:rPr>
              <w:t xml:space="preserve"> na</w:t>
            </w:r>
            <w:r w:rsidR="00F218C6" w:rsidRPr="0024764F">
              <w:rPr>
                <w:rFonts w:ascii="Arial" w:hAnsi="Arial" w:cs="Arial"/>
                <w:sz w:val="21"/>
                <w:szCs w:val="21"/>
              </w:rPr>
              <w:t> </w:t>
            </w:r>
            <w:r w:rsidR="003D7206" w:rsidRPr="0024764F">
              <w:rPr>
                <w:rFonts w:ascii="Arial" w:hAnsi="Arial" w:cs="Arial"/>
                <w:sz w:val="21"/>
                <w:szCs w:val="21"/>
              </w:rPr>
              <w:t xml:space="preserve">Slovensku </w:t>
            </w:r>
            <w:r w:rsidR="00FB63F0" w:rsidRPr="0024764F">
              <w:rPr>
                <w:rFonts w:ascii="Arial" w:hAnsi="Arial" w:cs="Arial"/>
                <w:sz w:val="21"/>
                <w:szCs w:val="21"/>
              </w:rPr>
              <w:t>tak dosiahol</w:t>
            </w:r>
            <w:r w:rsidR="003D7206" w:rsidRPr="0024764F">
              <w:rPr>
                <w:rFonts w:ascii="Arial" w:hAnsi="Arial" w:cs="Arial"/>
                <w:sz w:val="21"/>
                <w:szCs w:val="21"/>
              </w:rPr>
              <w:t xml:space="preserve"> 2</w:t>
            </w:r>
            <w:r w:rsidR="00B874DC" w:rsidRPr="0024764F">
              <w:rPr>
                <w:rFonts w:ascii="Arial" w:hAnsi="Arial" w:cs="Arial"/>
                <w:sz w:val="21"/>
                <w:szCs w:val="21"/>
              </w:rPr>
              <w:t> </w:t>
            </w:r>
            <w:r w:rsidR="00321BAE" w:rsidRPr="0024764F">
              <w:rPr>
                <w:rFonts w:ascii="Arial" w:hAnsi="Arial" w:cs="Arial"/>
                <w:sz w:val="21"/>
                <w:szCs w:val="21"/>
              </w:rPr>
              <w:t>6</w:t>
            </w:r>
            <w:r w:rsidR="0024764F" w:rsidRPr="0024764F">
              <w:rPr>
                <w:rFonts w:ascii="Arial" w:hAnsi="Arial" w:cs="Arial"/>
                <w:sz w:val="21"/>
                <w:szCs w:val="21"/>
              </w:rPr>
              <w:t>26</w:t>
            </w:r>
            <w:r w:rsidR="00B874DC" w:rsidRPr="0024764F">
              <w:rPr>
                <w:rFonts w:ascii="Arial" w:hAnsi="Arial" w:cs="Arial"/>
                <w:sz w:val="21"/>
                <w:szCs w:val="21"/>
              </w:rPr>
              <w:t>,</w:t>
            </w:r>
            <w:r w:rsidR="0024764F" w:rsidRPr="0024764F">
              <w:rPr>
                <w:rFonts w:ascii="Arial" w:hAnsi="Arial" w:cs="Arial"/>
                <w:sz w:val="21"/>
                <w:szCs w:val="21"/>
              </w:rPr>
              <w:t>1</w:t>
            </w:r>
            <w:r w:rsidR="003D7206" w:rsidRPr="0024764F">
              <w:rPr>
                <w:rFonts w:ascii="Arial" w:hAnsi="Arial" w:cs="Arial"/>
                <w:sz w:val="21"/>
                <w:szCs w:val="21"/>
              </w:rPr>
              <w:t xml:space="preserve"> tis. osôb. </w:t>
            </w:r>
            <w:r w:rsidR="00063016" w:rsidRPr="0024764F">
              <w:rPr>
                <w:rFonts w:ascii="Arial" w:hAnsi="Arial" w:cs="Arial"/>
                <w:sz w:val="21"/>
                <w:szCs w:val="21"/>
              </w:rPr>
              <w:t xml:space="preserve">Celková zamestnanosť </w:t>
            </w:r>
            <w:r w:rsidR="0077764D" w:rsidRPr="0024764F">
              <w:rPr>
                <w:rFonts w:ascii="Arial" w:hAnsi="Arial" w:cs="Arial"/>
                <w:sz w:val="21"/>
                <w:szCs w:val="21"/>
              </w:rPr>
              <w:t xml:space="preserve">sa </w:t>
            </w:r>
            <w:r w:rsidR="00063016" w:rsidRPr="0024764F">
              <w:rPr>
                <w:rFonts w:ascii="Arial" w:hAnsi="Arial" w:cs="Arial"/>
                <w:sz w:val="21"/>
                <w:szCs w:val="21"/>
              </w:rPr>
              <w:t>medzikvartálne</w:t>
            </w:r>
            <w:r w:rsidR="00063016" w:rsidRPr="0024764F">
              <w:rPr>
                <w:rFonts w:ascii="Arial" w:hAnsi="Arial" w:cs="Arial"/>
                <w:i/>
                <w:sz w:val="21"/>
                <w:szCs w:val="21"/>
              </w:rPr>
              <w:t xml:space="preserve"> </w:t>
            </w:r>
            <w:r w:rsidR="00063016" w:rsidRPr="0024764F">
              <w:rPr>
                <w:rFonts w:ascii="Arial" w:hAnsi="Arial" w:cs="Arial"/>
                <w:sz w:val="21"/>
                <w:szCs w:val="21"/>
              </w:rPr>
              <w:t xml:space="preserve">(oproti predchádzajúcemu </w:t>
            </w:r>
            <w:r w:rsidR="00FB63F0" w:rsidRPr="0024764F">
              <w:rPr>
                <w:rFonts w:ascii="Arial" w:hAnsi="Arial" w:cs="Arial"/>
                <w:sz w:val="21"/>
                <w:szCs w:val="21"/>
              </w:rPr>
              <w:t xml:space="preserve">štvrťroku) po sezónnom očistení </w:t>
            </w:r>
            <w:r w:rsidR="0077764D" w:rsidRPr="0024764F">
              <w:rPr>
                <w:rFonts w:ascii="Arial" w:hAnsi="Arial" w:cs="Arial"/>
                <w:sz w:val="21"/>
                <w:szCs w:val="21"/>
              </w:rPr>
              <w:t>z</w:t>
            </w:r>
            <w:r w:rsidR="00077362" w:rsidRPr="0024764F">
              <w:rPr>
                <w:rFonts w:ascii="Arial" w:hAnsi="Arial" w:cs="Arial"/>
                <w:sz w:val="21"/>
                <w:szCs w:val="21"/>
              </w:rPr>
              <w:t>nížila</w:t>
            </w:r>
            <w:r w:rsidR="00FE4573" w:rsidRPr="0024764F">
              <w:rPr>
                <w:rFonts w:ascii="Arial" w:hAnsi="Arial" w:cs="Arial"/>
                <w:sz w:val="21"/>
                <w:szCs w:val="21"/>
              </w:rPr>
              <w:t xml:space="preserve"> </w:t>
            </w:r>
            <w:r w:rsidR="00371545" w:rsidRPr="0024764F">
              <w:rPr>
                <w:rFonts w:ascii="Arial" w:hAnsi="Arial" w:cs="Arial"/>
              </w:rPr>
              <w:t>o 0,</w:t>
            </w:r>
            <w:r w:rsidR="0024764F" w:rsidRPr="0024764F">
              <w:rPr>
                <w:rFonts w:ascii="Arial" w:hAnsi="Arial" w:cs="Arial"/>
              </w:rPr>
              <w:t>2</w:t>
            </w:r>
            <w:r w:rsidR="00371545" w:rsidRPr="0024764F">
              <w:rPr>
                <w:rFonts w:ascii="Arial" w:hAnsi="Arial" w:cs="Arial"/>
              </w:rPr>
              <w:t> % na 2 60</w:t>
            </w:r>
            <w:r w:rsidR="0024764F" w:rsidRPr="0024764F">
              <w:rPr>
                <w:rFonts w:ascii="Arial" w:hAnsi="Arial" w:cs="Arial"/>
              </w:rPr>
              <w:t>2</w:t>
            </w:r>
            <w:r w:rsidR="00371545" w:rsidRPr="0024764F">
              <w:rPr>
                <w:rFonts w:ascii="Arial" w:hAnsi="Arial" w:cs="Arial"/>
              </w:rPr>
              <w:t xml:space="preserve"> </w:t>
            </w:r>
            <w:r w:rsidR="00063016" w:rsidRPr="0024764F">
              <w:rPr>
                <w:rFonts w:ascii="Arial" w:hAnsi="Arial" w:cs="Arial"/>
                <w:sz w:val="21"/>
                <w:szCs w:val="21"/>
              </w:rPr>
              <w:t>tis</w:t>
            </w:r>
            <w:r w:rsidR="00CE7A29" w:rsidRPr="0024764F">
              <w:rPr>
                <w:rFonts w:ascii="Arial" w:hAnsi="Arial" w:cs="Arial"/>
                <w:sz w:val="21"/>
                <w:szCs w:val="21"/>
              </w:rPr>
              <w:t>.</w:t>
            </w:r>
            <w:r w:rsidR="00063016" w:rsidRPr="0024764F">
              <w:rPr>
                <w:rFonts w:ascii="Arial" w:hAnsi="Arial" w:cs="Arial"/>
                <w:sz w:val="21"/>
                <w:szCs w:val="21"/>
              </w:rPr>
              <w:t xml:space="preserve"> pracujúcich.</w:t>
            </w:r>
          </w:p>
          <w:p w14:paraId="4D9DF293" w14:textId="7E9221C2" w:rsidR="00E46ECF" w:rsidRPr="008B5BC4" w:rsidRDefault="00DD479B" w:rsidP="00341631">
            <w:pPr>
              <w:tabs>
                <w:tab w:val="left" w:pos="426"/>
              </w:tabs>
              <w:rPr>
                <w:rFonts w:ascii="Arial" w:hAnsi="Arial" w:cs="Arial"/>
                <w:color w:val="EE0000"/>
                <w:sz w:val="10"/>
                <w:szCs w:val="10"/>
              </w:rPr>
            </w:pPr>
            <w:r w:rsidRPr="008B5BC4">
              <w:rPr>
                <w:rFonts w:ascii="Arial" w:hAnsi="Arial" w:cs="Arial"/>
                <w:color w:val="EE0000"/>
                <w:sz w:val="21"/>
                <w:szCs w:val="21"/>
              </w:rPr>
              <w:t xml:space="preserve">  </w:t>
            </w:r>
            <w:r w:rsidR="00DB7CA5" w:rsidRPr="008B5BC4">
              <w:rPr>
                <w:rFonts w:ascii="Arial" w:hAnsi="Arial" w:cs="Arial"/>
                <w:color w:val="EE0000"/>
                <w:sz w:val="21"/>
                <w:szCs w:val="21"/>
              </w:rPr>
              <w:t xml:space="preserve"> </w:t>
            </w:r>
          </w:p>
          <w:p w14:paraId="331832A2" w14:textId="7C9CEE7C" w:rsidR="00701329" w:rsidRPr="0024764F" w:rsidRDefault="00DD479B" w:rsidP="00B874DC">
            <w:pPr>
              <w:tabs>
                <w:tab w:val="left" w:pos="426"/>
              </w:tabs>
              <w:rPr>
                <w:rFonts w:ascii="Arial" w:hAnsi="Arial" w:cs="Arial"/>
                <w:sz w:val="21"/>
                <w:szCs w:val="21"/>
              </w:rPr>
            </w:pPr>
            <w:r w:rsidRPr="008B5BC4">
              <w:rPr>
                <w:rFonts w:ascii="Arial" w:hAnsi="Arial"/>
                <w:color w:val="EE0000"/>
                <w:sz w:val="21"/>
                <w:szCs w:val="21"/>
              </w:rPr>
              <w:t xml:space="preserve">  </w:t>
            </w:r>
            <w:r w:rsidR="00E46ECF" w:rsidRPr="008B5BC4">
              <w:rPr>
                <w:rFonts w:ascii="Arial" w:hAnsi="Arial"/>
                <w:color w:val="EE0000"/>
                <w:sz w:val="21"/>
                <w:szCs w:val="21"/>
              </w:rPr>
              <w:t xml:space="preserve"> </w:t>
            </w:r>
            <w:r w:rsidR="003D7206" w:rsidRPr="0024764F">
              <w:rPr>
                <w:rFonts w:ascii="Arial" w:hAnsi="Arial"/>
                <w:sz w:val="21"/>
                <w:szCs w:val="21"/>
              </w:rPr>
              <w:t>Počet krátkodobo pracujúcich v zahraničí</w:t>
            </w:r>
            <w:r w:rsidR="003D7206" w:rsidRPr="0024764F">
              <w:rPr>
                <w:rStyle w:val="Odkaznapoznmkupodiarou"/>
                <w:rFonts w:ascii="Arial" w:hAnsi="Arial" w:cs="Arial"/>
                <w:szCs w:val="16"/>
              </w:rPr>
              <w:footnoteReference w:id="5"/>
            </w:r>
            <w:r w:rsidR="003D7206" w:rsidRPr="0024764F">
              <w:rPr>
                <w:rStyle w:val="Odkaznapoznmkupodiarou"/>
                <w:rFonts w:ascii="Arial" w:hAnsi="Arial" w:cs="Arial"/>
                <w:szCs w:val="16"/>
              </w:rPr>
              <w:t>)</w:t>
            </w:r>
            <w:r w:rsidR="003D7206" w:rsidRPr="0024764F">
              <w:rPr>
                <w:rFonts w:ascii="Arial" w:hAnsi="Arial"/>
                <w:sz w:val="21"/>
                <w:szCs w:val="21"/>
              </w:rPr>
              <w:t xml:space="preserve"> </w:t>
            </w:r>
            <w:r w:rsidR="003D7206" w:rsidRPr="0024764F">
              <w:rPr>
                <w:rFonts w:ascii="Arial" w:hAnsi="Arial" w:cs="Arial"/>
                <w:sz w:val="21"/>
                <w:szCs w:val="21"/>
              </w:rPr>
              <w:t xml:space="preserve">sa medziročne </w:t>
            </w:r>
            <w:r w:rsidR="0024764F" w:rsidRPr="0024764F">
              <w:rPr>
                <w:rFonts w:ascii="Arial" w:hAnsi="Arial" w:cs="Arial"/>
                <w:sz w:val="21"/>
                <w:szCs w:val="21"/>
              </w:rPr>
              <w:t>zvýš</w:t>
            </w:r>
            <w:r w:rsidR="00931393" w:rsidRPr="0024764F">
              <w:rPr>
                <w:rFonts w:ascii="Arial" w:hAnsi="Arial" w:cs="Arial"/>
                <w:sz w:val="21"/>
                <w:szCs w:val="21"/>
              </w:rPr>
              <w:t>il</w:t>
            </w:r>
            <w:r w:rsidR="003D7206" w:rsidRPr="0024764F">
              <w:rPr>
                <w:rFonts w:ascii="Arial" w:hAnsi="Arial" w:cs="Arial"/>
                <w:sz w:val="21"/>
                <w:szCs w:val="21"/>
              </w:rPr>
              <w:t xml:space="preserve"> o</w:t>
            </w:r>
            <w:r w:rsidR="0024764F" w:rsidRPr="0024764F">
              <w:rPr>
                <w:rFonts w:ascii="Arial" w:hAnsi="Arial" w:cs="Arial"/>
                <w:sz w:val="21"/>
                <w:szCs w:val="21"/>
              </w:rPr>
              <w:t> 4,8</w:t>
            </w:r>
            <w:r w:rsidR="00FE4573" w:rsidRPr="0024764F">
              <w:rPr>
                <w:rFonts w:ascii="Arial" w:hAnsi="Arial" w:cs="Arial"/>
                <w:sz w:val="21"/>
                <w:szCs w:val="21"/>
              </w:rPr>
              <w:t> </w:t>
            </w:r>
            <w:r w:rsidR="003D7206" w:rsidRPr="0024764F">
              <w:rPr>
                <w:rFonts w:ascii="Arial" w:hAnsi="Arial" w:cs="Arial"/>
                <w:sz w:val="21"/>
                <w:szCs w:val="21"/>
              </w:rPr>
              <w:t>% na 1</w:t>
            </w:r>
            <w:r w:rsidR="00077362" w:rsidRPr="0024764F">
              <w:rPr>
                <w:rFonts w:ascii="Arial" w:hAnsi="Arial" w:cs="Arial"/>
                <w:sz w:val="21"/>
                <w:szCs w:val="21"/>
              </w:rPr>
              <w:t>2</w:t>
            </w:r>
            <w:r w:rsidR="0024764F" w:rsidRPr="0024764F">
              <w:rPr>
                <w:rFonts w:ascii="Arial" w:hAnsi="Arial" w:cs="Arial"/>
                <w:sz w:val="21"/>
                <w:szCs w:val="21"/>
              </w:rPr>
              <w:t>3</w:t>
            </w:r>
            <w:r w:rsidR="00EC2958" w:rsidRPr="0024764F">
              <w:rPr>
                <w:rFonts w:ascii="Arial" w:hAnsi="Arial" w:cs="Arial"/>
                <w:sz w:val="21"/>
                <w:szCs w:val="21"/>
              </w:rPr>
              <w:t>,</w:t>
            </w:r>
            <w:r w:rsidR="00371545" w:rsidRPr="0024764F">
              <w:rPr>
                <w:rFonts w:ascii="Arial" w:hAnsi="Arial" w:cs="Arial"/>
                <w:sz w:val="21"/>
                <w:szCs w:val="21"/>
              </w:rPr>
              <w:t>3</w:t>
            </w:r>
            <w:r w:rsidR="003D7206" w:rsidRPr="0024764F">
              <w:rPr>
                <w:rFonts w:ascii="Arial" w:hAnsi="Arial" w:cs="Arial"/>
                <w:sz w:val="21"/>
                <w:szCs w:val="21"/>
              </w:rPr>
              <w:t xml:space="preserve"> tis. osôb</w:t>
            </w:r>
            <w:r w:rsidR="003D7206" w:rsidRPr="0024764F">
              <w:rPr>
                <w:rFonts w:ascii="Arial" w:hAnsi="Arial"/>
                <w:sz w:val="21"/>
                <w:szCs w:val="21"/>
              </w:rPr>
              <w:t xml:space="preserve">. </w:t>
            </w:r>
            <w:r w:rsidR="00063016" w:rsidRPr="0024764F">
              <w:rPr>
                <w:rFonts w:ascii="Arial" w:hAnsi="Arial" w:cs="Arial"/>
              </w:rPr>
              <w:t>Pracovali najmä v</w:t>
            </w:r>
            <w:r w:rsidR="0024764F" w:rsidRPr="0024764F">
              <w:rPr>
                <w:rFonts w:ascii="Arial" w:hAnsi="Arial" w:cs="Arial"/>
              </w:rPr>
              <w:t> </w:t>
            </w:r>
            <w:r w:rsidR="00063016" w:rsidRPr="0024764F">
              <w:rPr>
                <w:rFonts w:ascii="Arial" w:hAnsi="Arial" w:cs="Arial"/>
              </w:rPr>
              <w:t>stavebníctve</w:t>
            </w:r>
            <w:r w:rsidR="0024764F" w:rsidRPr="0024764F">
              <w:rPr>
                <w:rFonts w:ascii="Arial" w:hAnsi="Arial" w:cs="Arial"/>
              </w:rPr>
              <w:t xml:space="preserve"> a</w:t>
            </w:r>
            <w:r w:rsidR="00063016" w:rsidRPr="0024764F">
              <w:rPr>
                <w:rFonts w:ascii="Arial" w:hAnsi="Arial" w:cs="Arial"/>
              </w:rPr>
              <w:t xml:space="preserve"> v priemysle. </w:t>
            </w:r>
            <w:r w:rsidR="00077362" w:rsidRPr="0024764F">
              <w:rPr>
                <w:rFonts w:ascii="Arial" w:hAnsi="Arial" w:cs="Arial"/>
                <w:sz w:val="21"/>
                <w:szCs w:val="21"/>
              </w:rPr>
              <w:t>Najviac pracujúcich,</w:t>
            </w:r>
            <w:r w:rsidR="00341631" w:rsidRPr="0024764F">
              <w:rPr>
                <w:rFonts w:ascii="Arial" w:hAnsi="Arial" w:cs="Arial"/>
                <w:sz w:val="21"/>
                <w:szCs w:val="21"/>
              </w:rPr>
              <w:t xml:space="preserve"> </w:t>
            </w:r>
            <w:r w:rsidR="00077362" w:rsidRPr="0024764F">
              <w:rPr>
                <w:rFonts w:ascii="Arial" w:hAnsi="Arial" w:cs="Arial"/>
                <w:sz w:val="21"/>
                <w:szCs w:val="21"/>
              </w:rPr>
              <w:t xml:space="preserve">ktorí </w:t>
            </w:r>
            <w:r w:rsidR="00341631" w:rsidRPr="0024764F">
              <w:rPr>
                <w:rFonts w:ascii="Arial" w:hAnsi="Arial" w:cs="Arial"/>
                <w:sz w:val="21"/>
                <w:szCs w:val="21"/>
              </w:rPr>
              <w:t>pracovali alebo dochádzali za prácou do zahraničia, pochádzal</w:t>
            </w:r>
            <w:r w:rsidR="00BB4F3D">
              <w:rPr>
                <w:rFonts w:ascii="Arial" w:hAnsi="Arial" w:cs="Arial"/>
                <w:sz w:val="21"/>
                <w:szCs w:val="21"/>
              </w:rPr>
              <w:t>o</w:t>
            </w:r>
            <w:r w:rsidR="00341631" w:rsidRPr="0024764F">
              <w:rPr>
                <w:rFonts w:ascii="Arial" w:hAnsi="Arial" w:cs="Arial"/>
                <w:sz w:val="21"/>
                <w:szCs w:val="21"/>
              </w:rPr>
              <w:t xml:space="preserve"> z Prešovského, </w:t>
            </w:r>
            <w:r w:rsidR="0024764F" w:rsidRPr="0024764F">
              <w:rPr>
                <w:rFonts w:ascii="Arial" w:hAnsi="Arial" w:cs="Arial"/>
                <w:sz w:val="21"/>
                <w:szCs w:val="21"/>
              </w:rPr>
              <w:t>Banskobystrického</w:t>
            </w:r>
            <w:r w:rsidR="00371545" w:rsidRPr="0024764F">
              <w:rPr>
                <w:rFonts w:ascii="Arial" w:hAnsi="Arial" w:cs="Arial"/>
                <w:sz w:val="21"/>
                <w:szCs w:val="21"/>
              </w:rPr>
              <w:t xml:space="preserve"> a </w:t>
            </w:r>
            <w:r w:rsidR="002161D1" w:rsidRPr="0024764F">
              <w:rPr>
                <w:rFonts w:ascii="Arial" w:hAnsi="Arial" w:cs="Arial"/>
                <w:sz w:val="21"/>
                <w:szCs w:val="21"/>
              </w:rPr>
              <w:t>Žilinského </w:t>
            </w:r>
            <w:r w:rsidR="00341631" w:rsidRPr="0024764F">
              <w:rPr>
                <w:rFonts w:ascii="Arial" w:hAnsi="Arial" w:cs="Arial"/>
                <w:sz w:val="21"/>
                <w:szCs w:val="21"/>
              </w:rPr>
              <w:t>kraja</w:t>
            </w:r>
            <w:r w:rsidR="003D7206" w:rsidRPr="0024764F">
              <w:rPr>
                <w:rFonts w:ascii="Arial" w:hAnsi="Arial" w:cs="Arial"/>
                <w:sz w:val="21"/>
                <w:szCs w:val="21"/>
              </w:rPr>
              <w:t>.</w:t>
            </w:r>
          </w:p>
          <w:p w14:paraId="0B394188" w14:textId="37D9A192" w:rsidR="00513C22" w:rsidRPr="008B5BC4" w:rsidRDefault="00DD479B" w:rsidP="00B874DC">
            <w:pPr>
              <w:tabs>
                <w:tab w:val="left" w:pos="426"/>
              </w:tabs>
              <w:rPr>
                <w:rFonts w:ascii="Arial" w:hAnsi="Arial" w:cs="Arial"/>
                <w:color w:val="EE0000"/>
                <w:sz w:val="21"/>
                <w:szCs w:val="21"/>
              </w:rPr>
            </w:pPr>
            <w:r w:rsidRPr="008B5BC4">
              <w:rPr>
                <w:rFonts w:ascii="Arial" w:hAnsi="Arial" w:cs="Arial"/>
                <w:color w:val="EE0000"/>
                <w:sz w:val="21"/>
                <w:szCs w:val="21"/>
              </w:rPr>
              <w:t xml:space="preserve"> </w:t>
            </w:r>
          </w:p>
          <w:p w14:paraId="71362573" w14:textId="6C96CC5D" w:rsidR="0077764D" w:rsidRPr="009F2CAE" w:rsidRDefault="00701329" w:rsidP="00701329">
            <w:pPr>
              <w:tabs>
                <w:tab w:val="left" w:pos="426"/>
              </w:tabs>
              <w:rPr>
                <w:rFonts w:ascii="Arial" w:hAnsi="Arial" w:cs="Arial"/>
                <w:color w:val="EE0000"/>
                <w:sz w:val="21"/>
                <w:szCs w:val="21"/>
              </w:rPr>
            </w:pPr>
            <w:r w:rsidRPr="008B5BC4">
              <w:rPr>
                <w:rFonts w:ascii="Arial" w:hAnsi="Arial" w:cs="Arial"/>
                <w:color w:val="EE0000"/>
                <w:sz w:val="21"/>
                <w:szCs w:val="21"/>
              </w:rPr>
              <w:t xml:space="preserve">     </w:t>
            </w:r>
            <w:r w:rsidRPr="0024764F">
              <w:rPr>
                <w:rFonts w:ascii="Arial" w:hAnsi="Arial" w:cs="Arial"/>
                <w:sz w:val="21"/>
                <w:szCs w:val="21"/>
              </w:rPr>
              <w:t>V priemere za </w:t>
            </w:r>
            <w:r w:rsidR="00371545" w:rsidRPr="0024764F">
              <w:rPr>
                <w:rFonts w:ascii="Arial" w:hAnsi="Arial" w:cs="Arial"/>
                <w:sz w:val="21"/>
                <w:szCs w:val="21"/>
              </w:rPr>
              <w:t>rok</w:t>
            </w:r>
            <w:r w:rsidRPr="0024764F">
              <w:rPr>
                <w:rFonts w:ascii="Arial" w:hAnsi="Arial" w:cs="Arial"/>
                <w:sz w:val="21"/>
                <w:szCs w:val="21"/>
              </w:rPr>
              <w:t xml:space="preserve"> 202</w:t>
            </w:r>
            <w:r w:rsidR="00077362" w:rsidRPr="0024764F">
              <w:rPr>
                <w:rFonts w:ascii="Arial" w:hAnsi="Arial" w:cs="Arial"/>
                <w:sz w:val="21"/>
                <w:szCs w:val="21"/>
              </w:rPr>
              <w:t>5</w:t>
            </w:r>
            <w:r w:rsidRPr="0024764F">
              <w:rPr>
                <w:rFonts w:ascii="Arial" w:hAnsi="Arial" w:cs="Arial"/>
                <w:sz w:val="21"/>
                <w:szCs w:val="21"/>
              </w:rPr>
              <w:t xml:space="preserve"> </w:t>
            </w:r>
            <w:r w:rsidR="00077362" w:rsidRPr="0024764F">
              <w:rPr>
                <w:rFonts w:ascii="Arial" w:hAnsi="Arial" w:cs="Arial"/>
                <w:sz w:val="21"/>
                <w:szCs w:val="21"/>
              </w:rPr>
              <w:t>klesol</w:t>
            </w:r>
            <w:r w:rsidRPr="0024764F">
              <w:rPr>
                <w:rFonts w:ascii="Arial" w:hAnsi="Arial" w:cs="Arial"/>
                <w:sz w:val="21"/>
                <w:szCs w:val="21"/>
              </w:rPr>
              <w:t xml:space="preserve"> medziročne počet pracujúcich o 0,</w:t>
            </w:r>
            <w:r w:rsidR="0024764F" w:rsidRPr="0024764F">
              <w:rPr>
                <w:rFonts w:ascii="Arial" w:hAnsi="Arial" w:cs="Arial"/>
                <w:sz w:val="21"/>
                <w:szCs w:val="21"/>
              </w:rPr>
              <w:t>4</w:t>
            </w:r>
            <w:r w:rsidRPr="0024764F">
              <w:rPr>
                <w:rFonts w:ascii="Arial" w:hAnsi="Arial" w:cs="Arial"/>
                <w:sz w:val="21"/>
                <w:szCs w:val="21"/>
              </w:rPr>
              <w:t> % na 2 6</w:t>
            </w:r>
            <w:r w:rsidR="0024764F" w:rsidRPr="0024764F">
              <w:rPr>
                <w:rFonts w:ascii="Arial" w:hAnsi="Arial" w:cs="Arial"/>
                <w:sz w:val="21"/>
                <w:szCs w:val="21"/>
              </w:rPr>
              <w:t>10</w:t>
            </w:r>
            <w:r w:rsidRPr="0024764F">
              <w:rPr>
                <w:rFonts w:ascii="Arial" w:hAnsi="Arial" w:cs="Arial"/>
                <w:sz w:val="21"/>
                <w:szCs w:val="21"/>
              </w:rPr>
              <w:t>,</w:t>
            </w:r>
            <w:r w:rsidR="0024764F" w:rsidRPr="0024764F">
              <w:rPr>
                <w:rFonts w:ascii="Arial" w:hAnsi="Arial" w:cs="Arial"/>
                <w:sz w:val="21"/>
                <w:szCs w:val="21"/>
              </w:rPr>
              <w:t>7</w:t>
            </w:r>
            <w:r w:rsidRPr="0024764F">
              <w:rPr>
                <w:rFonts w:ascii="Arial" w:hAnsi="Arial" w:cs="Arial"/>
                <w:sz w:val="21"/>
                <w:szCs w:val="21"/>
              </w:rPr>
              <w:t xml:space="preserve"> tis. osôb.</w:t>
            </w:r>
          </w:p>
        </w:tc>
      </w:tr>
      <w:tr w:rsidR="002B30EF" w:rsidRPr="009D750F" w14:paraId="00F59319" w14:textId="77777777" w:rsidTr="00031085">
        <w:trPr>
          <w:trHeight w:hRule="exact" w:val="137"/>
        </w:trPr>
        <w:tc>
          <w:tcPr>
            <w:tcW w:w="2443" w:type="dxa"/>
            <w:tcBorders>
              <w:top w:val="nil"/>
              <w:left w:val="nil"/>
              <w:bottom w:val="nil"/>
              <w:right w:val="nil"/>
            </w:tcBorders>
          </w:tcPr>
          <w:p w14:paraId="678504CB" w14:textId="77777777" w:rsidR="00513C22" w:rsidRPr="009D750F" w:rsidRDefault="00513C22" w:rsidP="009F4B5C">
            <w:pPr>
              <w:pStyle w:val="BodyText28"/>
              <w:tabs>
                <w:tab w:val="left" w:pos="426"/>
              </w:tabs>
              <w:jc w:val="left"/>
              <w:rPr>
                <w:b/>
                <w:sz w:val="20"/>
              </w:rPr>
            </w:pPr>
          </w:p>
        </w:tc>
        <w:tc>
          <w:tcPr>
            <w:tcW w:w="96" w:type="dxa"/>
            <w:tcBorders>
              <w:top w:val="nil"/>
              <w:left w:val="nil"/>
              <w:bottom w:val="nil"/>
              <w:right w:val="nil"/>
            </w:tcBorders>
          </w:tcPr>
          <w:p w14:paraId="7515D2AF" w14:textId="77777777" w:rsidR="00513C22" w:rsidRPr="009D750F" w:rsidRDefault="00513C22" w:rsidP="009F4B5C">
            <w:pPr>
              <w:tabs>
                <w:tab w:val="left" w:pos="426"/>
              </w:tabs>
              <w:rPr>
                <w:rFonts w:ascii="Arial" w:hAnsi="Arial"/>
              </w:rPr>
            </w:pPr>
          </w:p>
        </w:tc>
        <w:tc>
          <w:tcPr>
            <w:tcW w:w="6804" w:type="dxa"/>
            <w:gridSpan w:val="5"/>
            <w:tcBorders>
              <w:top w:val="nil"/>
              <w:left w:val="nil"/>
              <w:bottom w:val="nil"/>
              <w:right w:val="nil"/>
            </w:tcBorders>
          </w:tcPr>
          <w:p w14:paraId="614075D7" w14:textId="77777777" w:rsidR="00513C22" w:rsidRPr="009F2CAE" w:rsidRDefault="00513C22" w:rsidP="009F4B5C">
            <w:pPr>
              <w:tabs>
                <w:tab w:val="left" w:pos="426"/>
              </w:tabs>
              <w:rPr>
                <w:rFonts w:ascii="Arial" w:hAnsi="Arial" w:cs="Arial"/>
                <w:color w:val="EE0000"/>
                <w:sz w:val="21"/>
                <w:szCs w:val="21"/>
              </w:rPr>
            </w:pPr>
          </w:p>
        </w:tc>
      </w:tr>
      <w:tr w:rsidR="00C87374" w:rsidRPr="00F66CCB" w14:paraId="3C11C70B" w14:textId="77777777" w:rsidTr="0051301A">
        <w:trPr>
          <w:trHeight w:hRule="exact" w:val="5528"/>
        </w:trPr>
        <w:tc>
          <w:tcPr>
            <w:tcW w:w="2443" w:type="dxa"/>
            <w:tcBorders>
              <w:top w:val="nil"/>
              <w:left w:val="nil"/>
              <w:bottom w:val="nil"/>
              <w:right w:val="nil"/>
            </w:tcBorders>
          </w:tcPr>
          <w:p w14:paraId="6818DF53" w14:textId="5791F928" w:rsidR="00513C22" w:rsidRPr="00F66CCB" w:rsidRDefault="00513C22" w:rsidP="009F4B5C">
            <w:pPr>
              <w:pStyle w:val="BodyText28"/>
              <w:tabs>
                <w:tab w:val="left" w:pos="426"/>
              </w:tabs>
              <w:jc w:val="left"/>
              <w:rPr>
                <w:b/>
                <w:sz w:val="20"/>
              </w:rPr>
            </w:pPr>
            <w:r w:rsidRPr="00F66CCB">
              <w:rPr>
                <w:b/>
                <w:sz w:val="20"/>
              </w:rPr>
              <w:t>Počet nezamest</w:t>
            </w:r>
            <w:r w:rsidRPr="00F66CCB">
              <w:rPr>
                <w:b/>
                <w:sz w:val="20"/>
              </w:rPr>
              <w:softHyphen/>
              <w:t>na</w:t>
            </w:r>
            <w:r w:rsidRPr="00F66CCB">
              <w:rPr>
                <w:b/>
                <w:sz w:val="20"/>
              </w:rPr>
              <w:softHyphen/>
              <w:t xml:space="preserve">ných (podľa VZPS) </w:t>
            </w:r>
            <w:r w:rsidR="00E63241" w:rsidRPr="00F66CCB">
              <w:rPr>
                <w:b/>
                <w:sz w:val="20"/>
              </w:rPr>
              <w:t xml:space="preserve">sa </w:t>
            </w:r>
            <w:r w:rsidR="00271A3C" w:rsidRPr="00F66CCB">
              <w:rPr>
                <w:b/>
                <w:sz w:val="20"/>
              </w:rPr>
              <w:t xml:space="preserve">medziročne </w:t>
            </w:r>
            <w:r w:rsidR="00C038ED">
              <w:rPr>
                <w:b/>
                <w:sz w:val="20"/>
              </w:rPr>
              <w:t>zvýšil</w:t>
            </w:r>
            <w:r w:rsidRPr="00F66CCB">
              <w:rPr>
                <w:b/>
                <w:sz w:val="20"/>
              </w:rPr>
              <w:t xml:space="preserve"> o</w:t>
            </w:r>
            <w:r w:rsidR="004446B4">
              <w:rPr>
                <w:b/>
                <w:sz w:val="20"/>
              </w:rPr>
              <w:t> 6,5</w:t>
            </w:r>
            <w:r w:rsidR="009B2497" w:rsidRPr="00F66CCB">
              <w:rPr>
                <w:b/>
                <w:sz w:val="20"/>
              </w:rPr>
              <w:t> </w:t>
            </w:r>
            <w:r w:rsidRPr="00F66CCB">
              <w:rPr>
                <w:b/>
                <w:sz w:val="20"/>
              </w:rPr>
              <w:t xml:space="preserve">%, miera nezamestnanosti </w:t>
            </w:r>
            <w:r w:rsidR="007A3631" w:rsidRPr="00F66CCB">
              <w:rPr>
                <w:b/>
                <w:sz w:val="20"/>
              </w:rPr>
              <w:t>bola na úrovni</w:t>
            </w:r>
            <w:r w:rsidR="002360DE" w:rsidRPr="00F66CCB">
              <w:rPr>
                <w:b/>
                <w:sz w:val="20"/>
              </w:rPr>
              <w:t xml:space="preserve"> </w:t>
            </w:r>
            <w:r w:rsidR="00CE3E98" w:rsidRPr="00F66CCB">
              <w:rPr>
                <w:b/>
                <w:sz w:val="20"/>
              </w:rPr>
              <w:t>5,</w:t>
            </w:r>
            <w:r w:rsidR="004446B4">
              <w:rPr>
                <w:b/>
                <w:sz w:val="20"/>
              </w:rPr>
              <w:t>6</w:t>
            </w:r>
            <w:r w:rsidR="00CE3E98" w:rsidRPr="00F66CCB">
              <w:rPr>
                <w:b/>
                <w:sz w:val="20"/>
              </w:rPr>
              <w:t> </w:t>
            </w:r>
            <w:r w:rsidRPr="00F66CCB">
              <w:rPr>
                <w:b/>
                <w:sz w:val="20"/>
              </w:rPr>
              <w:t>%.</w:t>
            </w:r>
          </w:p>
          <w:p w14:paraId="1D3C6AAB" w14:textId="77777777" w:rsidR="00203CE9" w:rsidRPr="00F66CCB" w:rsidRDefault="00203CE9" w:rsidP="009F4B5C">
            <w:pPr>
              <w:pStyle w:val="BodyText28"/>
              <w:tabs>
                <w:tab w:val="left" w:pos="426"/>
              </w:tabs>
              <w:jc w:val="left"/>
              <w:rPr>
                <w:b/>
                <w:sz w:val="20"/>
              </w:rPr>
            </w:pPr>
          </w:p>
          <w:p w14:paraId="4D2A1F38" w14:textId="77777777" w:rsidR="00F83F10" w:rsidRPr="00F66CCB" w:rsidRDefault="00F83F10" w:rsidP="009F4B5C">
            <w:pPr>
              <w:pStyle w:val="BodyText28"/>
              <w:tabs>
                <w:tab w:val="left" w:pos="426"/>
              </w:tabs>
              <w:jc w:val="left"/>
              <w:rPr>
                <w:rFonts w:cs="Arial"/>
                <w:b/>
                <w:sz w:val="20"/>
              </w:rPr>
            </w:pPr>
          </w:p>
          <w:p w14:paraId="46BC4A03" w14:textId="77777777" w:rsidR="00767DDA" w:rsidRDefault="00767DDA" w:rsidP="009F4B5C">
            <w:pPr>
              <w:pStyle w:val="BodyText28"/>
              <w:tabs>
                <w:tab w:val="left" w:pos="426"/>
              </w:tabs>
              <w:jc w:val="left"/>
              <w:rPr>
                <w:rFonts w:cs="Arial"/>
                <w:b/>
                <w:sz w:val="20"/>
              </w:rPr>
            </w:pPr>
          </w:p>
          <w:p w14:paraId="7DADFA8E" w14:textId="29241364" w:rsidR="00EF5607" w:rsidRPr="00F66CCB" w:rsidRDefault="00EF5607" w:rsidP="009F4B5C">
            <w:pPr>
              <w:pStyle w:val="BodyText28"/>
              <w:tabs>
                <w:tab w:val="left" w:pos="426"/>
              </w:tabs>
              <w:jc w:val="left"/>
              <w:rPr>
                <w:b/>
                <w:sz w:val="20"/>
              </w:rPr>
            </w:pPr>
            <w:r w:rsidRPr="00F66CCB">
              <w:rPr>
                <w:rFonts w:cs="Arial"/>
                <w:b/>
                <w:sz w:val="20"/>
              </w:rPr>
              <w:t>Priemerná mesačná mzda nominálne vzrástla o</w:t>
            </w:r>
            <w:r w:rsidR="00767DDA">
              <w:rPr>
                <w:rFonts w:cs="Arial"/>
                <w:b/>
                <w:sz w:val="20"/>
              </w:rPr>
              <w:t> 5,</w:t>
            </w:r>
            <w:r w:rsidR="00031085">
              <w:rPr>
                <w:rFonts w:cs="Arial"/>
                <w:b/>
                <w:sz w:val="20"/>
              </w:rPr>
              <w:t>8</w:t>
            </w:r>
            <w:r w:rsidR="00345B3D">
              <w:rPr>
                <w:b/>
                <w:sz w:val="20"/>
              </w:rPr>
              <w:t> </w:t>
            </w:r>
            <w:r w:rsidRPr="00F66CCB">
              <w:rPr>
                <w:rFonts w:cs="Arial"/>
                <w:b/>
                <w:sz w:val="20"/>
              </w:rPr>
              <w:t>%, reálne bola</w:t>
            </w:r>
            <w:r w:rsidR="003E3D58" w:rsidRPr="00F66CCB">
              <w:rPr>
                <w:rFonts w:cs="Arial"/>
                <w:b/>
                <w:sz w:val="20"/>
              </w:rPr>
              <w:t xml:space="preserve"> vyššia</w:t>
            </w:r>
            <w:r w:rsidRPr="00F66CCB">
              <w:rPr>
                <w:rFonts w:cs="Arial"/>
                <w:b/>
                <w:sz w:val="20"/>
              </w:rPr>
              <w:t xml:space="preserve"> o</w:t>
            </w:r>
            <w:r w:rsidR="00767DDA">
              <w:rPr>
                <w:rFonts w:cs="Arial"/>
                <w:b/>
                <w:sz w:val="20"/>
              </w:rPr>
              <w:t> 1,</w:t>
            </w:r>
            <w:r w:rsidR="00031085">
              <w:rPr>
                <w:rFonts w:cs="Arial"/>
                <w:b/>
                <w:sz w:val="20"/>
              </w:rPr>
              <w:t>9</w:t>
            </w:r>
            <w:r w:rsidR="00A90D4F">
              <w:rPr>
                <w:rFonts w:cs="Arial"/>
                <w:b/>
                <w:sz w:val="20"/>
              </w:rPr>
              <w:t> </w:t>
            </w:r>
            <w:r w:rsidRPr="00F66CCB">
              <w:rPr>
                <w:rFonts w:cs="Arial"/>
                <w:b/>
                <w:sz w:val="20"/>
              </w:rPr>
              <w:t>%.</w:t>
            </w:r>
          </w:p>
          <w:p w14:paraId="167226E7" w14:textId="77777777" w:rsidR="00203CE9" w:rsidRPr="00F66CCB" w:rsidRDefault="00203CE9" w:rsidP="009F4B5C">
            <w:pPr>
              <w:pStyle w:val="BodyText28"/>
              <w:tabs>
                <w:tab w:val="left" w:pos="426"/>
              </w:tabs>
              <w:jc w:val="left"/>
              <w:rPr>
                <w:b/>
                <w:sz w:val="20"/>
              </w:rPr>
            </w:pPr>
          </w:p>
          <w:p w14:paraId="344B3593" w14:textId="77777777" w:rsidR="00203CE9" w:rsidRPr="00F66CCB" w:rsidRDefault="00203CE9" w:rsidP="009F4B5C">
            <w:pPr>
              <w:pStyle w:val="BodyText28"/>
              <w:tabs>
                <w:tab w:val="left" w:pos="426"/>
              </w:tabs>
              <w:jc w:val="left"/>
              <w:rPr>
                <w:b/>
                <w:sz w:val="20"/>
              </w:rPr>
            </w:pPr>
          </w:p>
          <w:p w14:paraId="44531115" w14:textId="77777777" w:rsidR="00450220" w:rsidRPr="00F66CCB" w:rsidRDefault="00450220" w:rsidP="009F4B5C">
            <w:pPr>
              <w:pStyle w:val="BodyText28"/>
              <w:tabs>
                <w:tab w:val="left" w:pos="426"/>
              </w:tabs>
              <w:jc w:val="left"/>
              <w:rPr>
                <w:b/>
                <w:sz w:val="20"/>
              </w:rPr>
            </w:pPr>
          </w:p>
          <w:p w14:paraId="41C333D0" w14:textId="77777777" w:rsidR="00450220" w:rsidRPr="00F66CCB" w:rsidRDefault="00450220" w:rsidP="009F4B5C">
            <w:pPr>
              <w:pStyle w:val="BodyText28"/>
              <w:tabs>
                <w:tab w:val="left" w:pos="426"/>
              </w:tabs>
              <w:jc w:val="left"/>
              <w:rPr>
                <w:b/>
                <w:sz w:val="20"/>
              </w:rPr>
            </w:pPr>
          </w:p>
          <w:p w14:paraId="78A77C97" w14:textId="77777777" w:rsidR="00450220" w:rsidRPr="00F66CCB" w:rsidRDefault="00450220" w:rsidP="009F4B5C">
            <w:pPr>
              <w:pStyle w:val="BodyText28"/>
              <w:tabs>
                <w:tab w:val="left" w:pos="426"/>
              </w:tabs>
              <w:jc w:val="left"/>
              <w:rPr>
                <w:b/>
                <w:sz w:val="20"/>
              </w:rPr>
            </w:pPr>
          </w:p>
          <w:p w14:paraId="4C639861" w14:textId="77777777" w:rsidR="00450220" w:rsidRPr="00F66CCB" w:rsidRDefault="00450220" w:rsidP="009F4B5C">
            <w:pPr>
              <w:pStyle w:val="BodyText28"/>
              <w:tabs>
                <w:tab w:val="left" w:pos="426"/>
              </w:tabs>
              <w:jc w:val="left"/>
              <w:rPr>
                <w:b/>
                <w:sz w:val="20"/>
              </w:rPr>
            </w:pPr>
          </w:p>
          <w:p w14:paraId="23D98DE4" w14:textId="77777777" w:rsidR="00450220" w:rsidRPr="00F66CCB" w:rsidRDefault="00450220" w:rsidP="009F4B5C">
            <w:pPr>
              <w:pStyle w:val="BodyText28"/>
              <w:tabs>
                <w:tab w:val="left" w:pos="426"/>
              </w:tabs>
              <w:jc w:val="left"/>
              <w:rPr>
                <w:b/>
                <w:sz w:val="20"/>
              </w:rPr>
            </w:pPr>
          </w:p>
          <w:p w14:paraId="6C2536B2" w14:textId="77777777" w:rsidR="00450220" w:rsidRPr="00F66CCB" w:rsidRDefault="00450220" w:rsidP="009F4B5C">
            <w:pPr>
              <w:pStyle w:val="BodyText28"/>
              <w:tabs>
                <w:tab w:val="left" w:pos="426"/>
              </w:tabs>
              <w:jc w:val="left"/>
              <w:rPr>
                <w:b/>
                <w:sz w:val="20"/>
              </w:rPr>
            </w:pPr>
          </w:p>
          <w:p w14:paraId="6AB046D1" w14:textId="77777777" w:rsidR="00450220" w:rsidRPr="00F66CCB" w:rsidRDefault="00450220" w:rsidP="009F4B5C">
            <w:pPr>
              <w:pStyle w:val="BodyText28"/>
              <w:tabs>
                <w:tab w:val="left" w:pos="426"/>
              </w:tabs>
              <w:jc w:val="left"/>
              <w:rPr>
                <w:b/>
                <w:sz w:val="20"/>
              </w:rPr>
            </w:pPr>
          </w:p>
          <w:p w14:paraId="0799BF62" w14:textId="77777777" w:rsidR="00450220" w:rsidRPr="00F66CCB" w:rsidRDefault="00450220" w:rsidP="009F4B5C">
            <w:pPr>
              <w:pStyle w:val="BodyText28"/>
              <w:tabs>
                <w:tab w:val="left" w:pos="426"/>
              </w:tabs>
              <w:jc w:val="left"/>
              <w:rPr>
                <w:b/>
                <w:sz w:val="20"/>
              </w:rPr>
            </w:pPr>
          </w:p>
          <w:p w14:paraId="304FC4F4" w14:textId="77777777" w:rsidR="00450220" w:rsidRPr="00F66CCB" w:rsidRDefault="00450220" w:rsidP="009F4B5C">
            <w:pPr>
              <w:pStyle w:val="BodyText28"/>
              <w:tabs>
                <w:tab w:val="left" w:pos="426"/>
              </w:tabs>
              <w:jc w:val="left"/>
              <w:rPr>
                <w:b/>
                <w:sz w:val="20"/>
              </w:rPr>
            </w:pPr>
          </w:p>
          <w:p w14:paraId="7F43A0E0" w14:textId="77777777" w:rsidR="002A2DD2" w:rsidRPr="00F66CCB" w:rsidRDefault="002A2DD2" w:rsidP="009F4B5C">
            <w:pPr>
              <w:pStyle w:val="BodyText28"/>
              <w:tabs>
                <w:tab w:val="left" w:pos="426"/>
              </w:tabs>
              <w:jc w:val="left"/>
              <w:rPr>
                <w:b/>
                <w:sz w:val="20"/>
              </w:rPr>
            </w:pPr>
          </w:p>
          <w:p w14:paraId="607FA237" w14:textId="77777777" w:rsidR="002A2DD2" w:rsidRPr="00F66CCB" w:rsidRDefault="002A2DD2" w:rsidP="009F4B5C">
            <w:pPr>
              <w:pStyle w:val="BodyText28"/>
              <w:tabs>
                <w:tab w:val="left" w:pos="426"/>
              </w:tabs>
              <w:jc w:val="left"/>
              <w:rPr>
                <w:b/>
                <w:sz w:val="20"/>
              </w:rPr>
            </w:pPr>
          </w:p>
          <w:p w14:paraId="1B7F071A" w14:textId="77777777" w:rsidR="002A2DD2" w:rsidRPr="00F66CCB" w:rsidRDefault="002A2DD2" w:rsidP="009F4B5C">
            <w:pPr>
              <w:pStyle w:val="BodyText28"/>
              <w:tabs>
                <w:tab w:val="left" w:pos="426"/>
              </w:tabs>
              <w:jc w:val="left"/>
              <w:rPr>
                <w:b/>
                <w:sz w:val="20"/>
              </w:rPr>
            </w:pPr>
          </w:p>
          <w:p w14:paraId="7340323B" w14:textId="77777777" w:rsidR="002A2DD2" w:rsidRPr="00F66CCB" w:rsidRDefault="002A2DD2" w:rsidP="009F4B5C">
            <w:pPr>
              <w:pStyle w:val="BodyText28"/>
              <w:tabs>
                <w:tab w:val="left" w:pos="426"/>
              </w:tabs>
              <w:jc w:val="left"/>
              <w:rPr>
                <w:b/>
                <w:sz w:val="20"/>
              </w:rPr>
            </w:pPr>
          </w:p>
          <w:p w14:paraId="00D3EDB6" w14:textId="77777777" w:rsidR="002A2DD2" w:rsidRPr="00F66CCB" w:rsidRDefault="002A2DD2" w:rsidP="009F4B5C">
            <w:pPr>
              <w:pStyle w:val="BodyText28"/>
              <w:tabs>
                <w:tab w:val="left" w:pos="426"/>
              </w:tabs>
              <w:jc w:val="left"/>
              <w:rPr>
                <w:b/>
                <w:sz w:val="20"/>
              </w:rPr>
            </w:pPr>
          </w:p>
          <w:p w14:paraId="5D52FE5C" w14:textId="77777777" w:rsidR="002A2DD2" w:rsidRPr="00F66CCB" w:rsidRDefault="002A2DD2" w:rsidP="009F4B5C">
            <w:pPr>
              <w:pStyle w:val="BodyText28"/>
              <w:tabs>
                <w:tab w:val="left" w:pos="426"/>
              </w:tabs>
              <w:jc w:val="left"/>
              <w:rPr>
                <w:b/>
                <w:sz w:val="20"/>
              </w:rPr>
            </w:pPr>
          </w:p>
          <w:p w14:paraId="53F505CF" w14:textId="77777777" w:rsidR="00450220" w:rsidRPr="00F66CCB" w:rsidRDefault="00450220" w:rsidP="009F4B5C">
            <w:pPr>
              <w:pStyle w:val="BodyText28"/>
              <w:tabs>
                <w:tab w:val="left" w:pos="426"/>
              </w:tabs>
              <w:jc w:val="left"/>
              <w:rPr>
                <w:b/>
                <w:sz w:val="20"/>
              </w:rPr>
            </w:pPr>
          </w:p>
          <w:p w14:paraId="79ECBB33" w14:textId="77777777" w:rsidR="00450220" w:rsidRPr="00F66CCB" w:rsidRDefault="00450220" w:rsidP="009F4B5C">
            <w:pPr>
              <w:pStyle w:val="BodyText28"/>
              <w:tabs>
                <w:tab w:val="left" w:pos="426"/>
              </w:tabs>
              <w:jc w:val="left"/>
              <w:rPr>
                <w:b/>
                <w:sz w:val="20"/>
              </w:rPr>
            </w:pPr>
          </w:p>
          <w:p w14:paraId="09D68E0A" w14:textId="77777777" w:rsidR="00450220" w:rsidRPr="00F66CCB" w:rsidRDefault="00450220" w:rsidP="009F4B5C">
            <w:pPr>
              <w:pStyle w:val="BodyText28"/>
              <w:tabs>
                <w:tab w:val="left" w:pos="426"/>
              </w:tabs>
              <w:jc w:val="left"/>
              <w:rPr>
                <w:b/>
                <w:sz w:val="20"/>
              </w:rPr>
            </w:pPr>
          </w:p>
          <w:p w14:paraId="0713C883" w14:textId="77777777" w:rsidR="00450220" w:rsidRPr="00F66CCB" w:rsidRDefault="00450220" w:rsidP="009F4B5C">
            <w:pPr>
              <w:pStyle w:val="BodyText28"/>
              <w:tabs>
                <w:tab w:val="left" w:pos="426"/>
              </w:tabs>
              <w:jc w:val="left"/>
              <w:rPr>
                <w:b/>
                <w:sz w:val="20"/>
              </w:rPr>
            </w:pPr>
          </w:p>
          <w:p w14:paraId="1D0009E1" w14:textId="77777777" w:rsidR="00450220" w:rsidRPr="00F66CCB" w:rsidRDefault="00450220" w:rsidP="009F4B5C">
            <w:pPr>
              <w:pStyle w:val="BodyText28"/>
              <w:tabs>
                <w:tab w:val="left" w:pos="426"/>
              </w:tabs>
              <w:jc w:val="left"/>
              <w:rPr>
                <w:b/>
                <w:sz w:val="20"/>
              </w:rPr>
            </w:pPr>
          </w:p>
          <w:p w14:paraId="2587D0BC" w14:textId="77777777" w:rsidR="00450220" w:rsidRPr="00F66CCB" w:rsidRDefault="00450220" w:rsidP="009F4B5C">
            <w:pPr>
              <w:pStyle w:val="BodyText28"/>
              <w:tabs>
                <w:tab w:val="left" w:pos="426"/>
              </w:tabs>
              <w:jc w:val="left"/>
              <w:rPr>
                <w:b/>
                <w:sz w:val="20"/>
              </w:rPr>
            </w:pPr>
          </w:p>
        </w:tc>
        <w:tc>
          <w:tcPr>
            <w:tcW w:w="96" w:type="dxa"/>
            <w:tcBorders>
              <w:top w:val="nil"/>
              <w:left w:val="nil"/>
              <w:bottom w:val="nil"/>
              <w:right w:val="nil"/>
            </w:tcBorders>
          </w:tcPr>
          <w:p w14:paraId="665F8786" w14:textId="77777777" w:rsidR="00513C22" w:rsidRPr="00F66CCB" w:rsidRDefault="00513C22" w:rsidP="009F4B5C">
            <w:pPr>
              <w:tabs>
                <w:tab w:val="left" w:pos="426"/>
              </w:tabs>
              <w:rPr>
                <w:rFonts w:ascii="Arial" w:hAnsi="Arial"/>
              </w:rPr>
            </w:pPr>
          </w:p>
        </w:tc>
        <w:tc>
          <w:tcPr>
            <w:tcW w:w="6804" w:type="dxa"/>
            <w:gridSpan w:val="5"/>
            <w:tcBorders>
              <w:top w:val="nil"/>
              <w:left w:val="nil"/>
              <w:bottom w:val="nil"/>
              <w:right w:val="nil"/>
            </w:tcBorders>
          </w:tcPr>
          <w:p w14:paraId="79DF079A" w14:textId="2FCE9A10" w:rsidR="007C7547" w:rsidRPr="00031085" w:rsidRDefault="003D7206" w:rsidP="009F4B5C">
            <w:pPr>
              <w:tabs>
                <w:tab w:val="left" w:pos="426"/>
              </w:tabs>
              <w:ind w:firstLine="284"/>
              <w:rPr>
                <w:rFonts w:ascii="Arial" w:hAnsi="Arial" w:cs="Arial"/>
                <w:iCs/>
                <w:spacing w:val="-4"/>
                <w:sz w:val="21"/>
                <w:szCs w:val="21"/>
              </w:rPr>
            </w:pPr>
            <w:r w:rsidRPr="00031085">
              <w:rPr>
                <w:rFonts w:ascii="Arial" w:hAnsi="Arial" w:cs="Arial"/>
                <w:sz w:val="21"/>
                <w:szCs w:val="21"/>
              </w:rPr>
              <w:t>Nezamestnanosť</w:t>
            </w:r>
            <w:r w:rsidRPr="00031085">
              <w:rPr>
                <w:rFonts w:ascii="Arial" w:hAnsi="Arial" w:cs="Arial"/>
                <w:b/>
                <w:sz w:val="21"/>
                <w:szCs w:val="21"/>
              </w:rPr>
              <w:t xml:space="preserve"> </w:t>
            </w:r>
            <w:r w:rsidRPr="00031085">
              <w:rPr>
                <w:rFonts w:ascii="Arial" w:hAnsi="Arial" w:cs="Arial"/>
                <w:sz w:val="21"/>
                <w:szCs w:val="21"/>
              </w:rPr>
              <w:t>sa v</w:t>
            </w:r>
            <w:r w:rsidR="0024764F" w:rsidRPr="00031085">
              <w:rPr>
                <w:rFonts w:ascii="Arial" w:hAnsi="Arial" w:cs="Arial"/>
                <w:sz w:val="21"/>
                <w:szCs w:val="21"/>
              </w:rPr>
              <w:t>o</w:t>
            </w:r>
            <w:r w:rsidRPr="00031085">
              <w:rPr>
                <w:rFonts w:ascii="Arial" w:hAnsi="Arial" w:cs="Arial"/>
                <w:sz w:val="21"/>
                <w:szCs w:val="21"/>
              </w:rPr>
              <w:t> </w:t>
            </w:r>
            <w:r w:rsidR="0024764F" w:rsidRPr="00031085">
              <w:rPr>
                <w:rFonts w:ascii="Arial" w:hAnsi="Arial" w:cs="Arial"/>
                <w:sz w:val="21"/>
                <w:szCs w:val="21"/>
              </w:rPr>
              <w:t>4</w:t>
            </w:r>
            <w:r w:rsidRPr="00031085">
              <w:rPr>
                <w:rFonts w:ascii="Arial" w:hAnsi="Arial" w:cs="Arial"/>
                <w:sz w:val="21"/>
                <w:szCs w:val="21"/>
              </w:rPr>
              <w:t xml:space="preserve">. štvrťroku </w:t>
            </w:r>
            <w:r w:rsidR="00077362" w:rsidRPr="00031085">
              <w:rPr>
                <w:rFonts w:ascii="Arial" w:hAnsi="Arial" w:cs="Arial"/>
                <w:sz w:val="21"/>
                <w:szCs w:val="21"/>
              </w:rPr>
              <w:t>zvýšila</w:t>
            </w:r>
            <w:r w:rsidRPr="00031085">
              <w:rPr>
                <w:rFonts w:ascii="Arial" w:hAnsi="Arial" w:cs="Arial"/>
                <w:sz w:val="21"/>
                <w:szCs w:val="21"/>
              </w:rPr>
              <w:t xml:space="preserve"> medziročne o</w:t>
            </w:r>
            <w:r w:rsidR="0024764F" w:rsidRPr="00031085">
              <w:rPr>
                <w:rFonts w:ascii="Arial" w:hAnsi="Arial" w:cs="Arial"/>
                <w:sz w:val="21"/>
                <w:szCs w:val="21"/>
              </w:rPr>
              <w:t> 6,5</w:t>
            </w:r>
            <w:r w:rsidR="00B116F3" w:rsidRPr="00031085">
              <w:rPr>
                <w:rFonts w:ascii="Arial" w:hAnsi="Arial" w:cs="Arial"/>
                <w:sz w:val="21"/>
                <w:szCs w:val="21"/>
              </w:rPr>
              <w:t> </w:t>
            </w:r>
            <w:r w:rsidRPr="00031085">
              <w:rPr>
                <w:rFonts w:ascii="Arial" w:hAnsi="Arial" w:cs="Arial"/>
                <w:sz w:val="21"/>
                <w:szCs w:val="21"/>
              </w:rPr>
              <w:t xml:space="preserve">%, celkový </w:t>
            </w:r>
            <w:r w:rsidR="00B658E4" w:rsidRPr="00031085">
              <w:rPr>
                <w:rFonts w:ascii="Arial" w:hAnsi="Arial" w:cs="Arial"/>
                <w:sz w:val="21"/>
                <w:szCs w:val="21"/>
              </w:rPr>
              <w:t>počet nezamestnaných podľa VZPS</w:t>
            </w:r>
            <w:r w:rsidRPr="00031085">
              <w:rPr>
                <w:rStyle w:val="Odkaznapoznmkupodiarou"/>
                <w:rFonts w:ascii="Arial" w:hAnsi="Arial" w:cs="Arial"/>
                <w:szCs w:val="16"/>
              </w:rPr>
              <w:footnoteReference w:id="6"/>
            </w:r>
            <w:r w:rsidRPr="00031085">
              <w:rPr>
                <w:rStyle w:val="Odkaznapoznmkupodiarou"/>
                <w:rFonts w:ascii="Arial" w:hAnsi="Arial" w:cs="Arial"/>
                <w:szCs w:val="16"/>
              </w:rPr>
              <w:t>)</w:t>
            </w:r>
            <w:r w:rsidRPr="00031085">
              <w:rPr>
                <w:rFonts w:ascii="Arial" w:hAnsi="Arial" w:cs="Arial"/>
                <w:sz w:val="21"/>
                <w:szCs w:val="21"/>
              </w:rPr>
              <w:t xml:space="preserve"> dosiahol 1</w:t>
            </w:r>
            <w:r w:rsidR="00371545" w:rsidRPr="00031085">
              <w:rPr>
                <w:rFonts w:ascii="Arial" w:hAnsi="Arial" w:cs="Arial"/>
                <w:sz w:val="21"/>
                <w:szCs w:val="21"/>
              </w:rPr>
              <w:t>5</w:t>
            </w:r>
            <w:r w:rsidR="0024764F" w:rsidRPr="00031085">
              <w:rPr>
                <w:rFonts w:ascii="Arial" w:hAnsi="Arial" w:cs="Arial"/>
                <w:sz w:val="21"/>
                <w:szCs w:val="21"/>
              </w:rPr>
              <w:t>4</w:t>
            </w:r>
            <w:r w:rsidRPr="00031085">
              <w:rPr>
                <w:rFonts w:ascii="Arial" w:hAnsi="Arial" w:cs="Arial"/>
                <w:sz w:val="21"/>
                <w:szCs w:val="21"/>
              </w:rPr>
              <w:t>,</w:t>
            </w:r>
            <w:r w:rsidR="0024764F" w:rsidRPr="00031085">
              <w:rPr>
                <w:rFonts w:ascii="Arial" w:hAnsi="Arial" w:cs="Arial"/>
                <w:sz w:val="21"/>
                <w:szCs w:val="21"/>
              </w:rPr>
              <w:t>8</w:t>
            </w:r>
            <w:r w:rsidRPr="00031085">
              <w:rPr>
                <w:rFonts w:ascii="Arial" w:hAnsi="Arial" w:cs="Arial"/>
                <w:sz w:val="21"/>
                <w:szCs w:val="21"/>
              </w:rPr>
              <w:t xml:space="preserve"> tis. osôb. Miera nezamestnanosti </w:t>
            </w:r>
            <w:r w:rsidR="00371545" w:rsidRPr="00031085">
              <w:rPr>
                <w:rFonts w:ascii="Arial" w:hAnsi="Arial" w:cs="Arial"/>
                <w:sz w:val="21"/>
                <w:szCs w:val="21"/>
              </w:rPr>
              <w:t>bola</w:t>
            </w:r>
            <w:r w:rsidR="00077362" w:rsidRPr="00031085">
              <w:rPr>
                <w:rFonts w:ascii="Arial" w:hAnsi="Arial" w:cs="Arial"/>
                <w:sz w:val="21"/>
                <w:szCs w:val="21"/>
              </w:rPr>
              <w:t xml:space="preserve"> na úrovni</w:t>
            </w:r>
            <w:r w:rsidR="007A3631" w:rsidRPr="00031085">
              <w:rPr>
                <w:rFonts w:ascii="Arial" w:hAnsi="Arial" w:cs="Arial"/>
                <w:sz w:val="21"/>
                <w:szCs w:val="21"/>
              </w:rPr>
              <w:t xml:space="preserve"> </w:t>
            </w:r>
            <w:r w:rsidR="00197F14" w:rsidRPr="00031085">
              <w:rPr>
                <w:rFonts w:ascii="Arial" w:hAnsi="Arial" w:cs="Arial"/>
                <w:spacing w:val="-4"/>
                <w:sz w:val="21"/>
                <w:szCs w:val="21"/>
              </w:rPr>
              <w:t>5,</w:t>
            </w:r>
            <w:r w:rsidR="0024764F" w:rsidRPr="00031085">
              <w:rPr>
                <w:rFonts w:ascii="Arial" w:hAnsi="Arial" w:cs="Arial"/>
                <w:spacing w:val="-4"/>
                <w:sz w:val="21"/>
                <w:szCs w:val="21"/>
              </w:rPr>
              <w:t>6</w:t>
            </w:r>
            <w:r w:rsidR="00D05CD5" w:rsidRPr="00031085">
              <w:rPr>
                <w:rFonts w:ascii="Arial" w:hAnsi="Arial" w:cs="Arial"/>
                <w:spacing w:val="-4"/>
                <w:sz w:val="21"/>
                <w:szCs w:val="21"/>
              </w:rPr>
              <w:t> </w:t>
            </w:r>
            <w:r w:rsidR="003E3EE4" w:rsidRPr="00031085">
              <w:rPr>
                <w:rFonts w:ascii="Arial" w:hAnsi="Arial" w:cs="Arial"/>
                <w:spacing w:val="-4"/>
                <w:sz w:val="21"/>
                <w:szCs w:val="21"/>
              </w:rPr>
              <w:t>%</w:t>
            </w:r>
            <w:r w:rsidRPr="00031085">
              <w:rPr>
                <w:rFonts w:ascii="Arial" w:hAnsi="Arial" w:cs="Arial"/>
                <w:spacing w:val="-4"/>
                <w:sz w:val="21"/>
                <w:szCs w:val="21"/>
              </w:rPr>
              <w:t xml:space="preserve">. </w:t>
            </w:r>
            <w:r w:rsidRPr="00031085">
              <w:rPr>
                <w:rFonts w:ascii="Arial" w:hAnsi="Arial" w:cs="Arial"/>
                <w:iCs/>
                <w:spacing w:val="-4"/>
                <w:sz w:val="21"/>
                <w:szCs w:val="21"/>
              </w:rPr>
              <w:t>Nezamestnanosť sa po sezónn</w:t>
            </w:r>
            <w:r w:rsidR="00F81A75" w:rsidRPr="00031085">
              <w:rPr>
                <w:rFonts w:ascii="Arial" w:hAnsi="Arial" w:cs="Arial"/>
                <w:iCs/>
                <w:spacing w:val="-4"/>
                <w:sz w:val="21"/>
                <w:szCs w:val="21"/>
              </w:rPr>
              <w:t>ej</w:t>
            </w:r>
            <w:r w:rsidRPr="00031085">
              <w:rPr>
                <w:rFonts w:ascii="Arial" w:hAnsi="Arial" w:cs="Arial"/>
                <w:iCs/>
                <w:spacing w:val="-4"/>
                <w:sz w:val="21"/>
                <w:szCs w:val="21"/>
              </w:rPr>
              <w:t xml:space="preserve"> </w:t>
            </w:r>
            <w:r w:rsidR="00F81A75" w:rsidRPr="00031085">
              <w:rPr>
                <w:rFonts w:ascii="Arial" w:hAnsi="Arial" w:cs="Arial"/>
                <w:iCs/>
                <w:spacing w:val="-4"/>
                <w:sz w:val="21"/>
                <w:szCs w:val="21"/>
              </w:rPr>
              <w:t>úprave</w:t>
            </w:r>
            <w:r w:rsidRPr="00031085">
              <w:rPr>
                <w:rFonts w:ascii="Arial" w:hAnsi="Arial" w:cs="Arial"/>
                <w:iCs/>
                <w:spacing w:val="-4"/>
                <w:sz w:val="21"/>
                <w:szCs w:val="21"/>
              </w:rPr>
              <w:t xml:space="preserve"> v porovnaní s</w:t>
            </w:r>
            <w:r w:rsidR="00341631" w:rsidRPr="00031085">
              <w:rPr>
                <w:rFonts w:ascii="Arial" w:hAnsi="Arial" w:cs="Arial"/>
                <w:iCs/>
                <w:spacing w:val="-4"/>
                <w:sz w:val="21"/>
                <w:szCs w:val="21"/>
              </w:rPr>
              <w:t xml:space="preserve"> predchádzajúcim </w:t>
            </w:r>
            <w:r w:rsidRPr="00031085">
              <w:rPr>
                <w:rFonts w:ascii="Arial" w:hAnsi="Arial" w:cs="Arial"/>
                <w:iCs/>
                <w:spacing w:val="-4"/>
                <w:sz w:val="21"/>
                <w:szCs w:val="21"/>
              </w:rPr>
              <w:t xml:space="preserve">štvrťrokom </w:t>
            </w:r>
            <w:r w:rsidR="00CE3E98" w:rsidRPr="00031085">
              <w:rPr>
                <w:rFonts w:ascii="Arial" w:hAnsi="Arial" w:cs="Arial"/>
                <w:iCs/>
                <w:spacing w:val="-4"/>
                <w:sz w:val="21"/>
                <w:szCs w:val="21"/>
              </w:rPr>
              <w:t>z</w:t>
            </w:r>
            <w:r w:rsidR="00077362" w:rsidRPr="00031085">
              <w:rPr>
                <w:rFonts w:ascii="Arial" w:hAnsi="Arial" w:cs="Arial"/>
                <w:iCs/>
                <w:spacing w:val="-4"/>
                <w:sz w:val="21"/>
                <w:szCs w:val="21"/>
              </w:rPr>
              <w:t>výšila</w:t>
            </w:r>
            <w:r w:rsidRPr="00031085">
              <w:rPr>
                <w:rFonts w:ascii="Arial" w:hAnsi="Arial" w:cs="Arial"/>
                <w:iCs/>
                <w:spacing w:val="-4"/>
                <w:sz w:val="21"/>
                <w:szCs w:val="21"/>
              </w:rPr>
              <w:t xml:space="preserve"> </w:t>
            </w:r>
            <w:r w:rsidR="00371545" w:rsidRPr="00031085">
              <w:rPr>
                <w:rFonts w:ascii="Arial" w:hAnsi="Arial" w:cs="Arial"/>
              </w:rPr>
              <w:t>o</w:t>
            </w:r>
            <w:r w:rsidR="00031085" w:rsidRPr="00031085">
              <w:rPr>
                <w:rFonts w:ascii="Arial" w:hAnsi="Arial" w:cs="Arial"/>
              </w:rPr>
              <w:t> 2,2</w:t>
            </w:r>
            <w:r w:rsidR="00371545" w:rsidRPr="00031085">
              <w:rPr>
                <w:rFonts w:ascii="Arial" w:hAnsi="Arial" w:cs="Arial"/>
              </w:rPr>
              <w:t> % na 1</w:t>
            </w:r>
            <w:r w:rsidR="00031085" w:rsidRPr="00031085">
              <w:rPr>
                <w:rFonts w:ascii="Arial" w:hAnsi="Arial" w:cs="Arial"/>
              </w:rPr>
              <w:t>58</w:t>
            </w:r>
            <w:r w:rsidR="00371545" w:rsidRPr="00031085">
              <w:rPr>
                <w:rFonts w:ascii="Arial" w:hAnsi="Arial" w:cs="Arial"/>
              </w:rPr>
              <w:t>,</w:t>
            </w:r>
            <w:r w:rsidR="00031085" w:rsidRPr="00031085">
              <w:rPr>
                <w:rFonts w:ascii="Arial" w:hAnsi="Arial" w:cs="Arial"/>
              </w:rPr>
              <w:t>8</w:t>
            </w:r>
            <w:r w:rsidR="00371545" w:rsidRPr="00031085">
              <w:rPr>
                <w:rFonts w:ascii="Arial" w:hAnsi="Arial" w:cs="Arial"/>
              </w:rPr>
              <w:t xml:space="preserve"> tis. osôb.</w:t>
            </w:r>
          </w:p>
          <w:p w14:paraId="1FB6BFB1" w14:textId="77777777" w:rsidR="00701329" w:rsidRPr="008B5BC4" w:rsidRDefault="00701329" w:rsidP="009F4B5C">
            <w:pPr>
              <w:tabs>
                <w:tab w:val="left" w:pos="426"/>
              </w:tabs>
              <w:ind w:firstLine="284"/>
              <w:rPr>
                <w:rFonts w:ascii="Arial" w:hAnsi="Arial" w:cs="Arial"/>
                <w:iCs/>
                <w:color w:val="EE0000"/>
                <w:spacing w:val="-4"/>
                <w:sz w:val="10"/>
                <w:szCs w:val="10"/>
              </w:rPr>
            </w:pPr>
          </w:p>
          <w:p w14:paraId="35A6308A" w14:textId="3F049ACF" w:rsidR="00701329" w:rsidRPr="00031085" w:rsidRDefault="00031085" w:rsidP="009F4B5C">
            <w:pPr>
              <w:tabs>
                <w:tab w:val="left" w:pos="426"/>
              </w:tabs>
              <w:ind w:firstLine="284"/>
              <w:rPr>
                <w:rFonts w:ascii="Arial" w:hAnsi="Arial" w:cs="Arial"/>
                <w:iCs/>
                <w:spacing w:val="-4"/>
                <w:sz w:val="21"/>
                <w:szCs w:val="21"/>
              </w:rPr>
            </w:pPr>
            <w:r w:rsidRPr="00031085">
              <w:rPr>
                <w:rFonts w:ascii="Arial" w:hAnsi="Arial" w:cs="Arial"/>
                <w:sz w:val="21"/>
                <w:szCs w:val="21"/>
              </w:rPr>
              <w:t>Za</w:t>
            </w:r>
            <w:r w:rsidR="00701329" w:rsidRPr="00031085">
              <w:rPr>
                <w:rFonts w:ascii="Arial" w:hAnsi="Arial" w:cs="Arial"/>
                <w:sz w:val="21"/>
                <w:szCs w:val="21"/>
              </w:rPr>
              <w:t> </w:t>
            </w:r>
            <w:r w:rsidRPr="00031085">
              <w:rPr>
                <w:rFonts w:ascii="Arial" w:hAnsi="Arial" w:cs="Arial"/>
                <w:sz w:val="21"/>
                <w:szCs w:val="21"/>
              </w:rPr>
              <w:t xml:space="preserve">rok </w:t>
            </w:r>
            <w:r w:rsidR="00701329" w:rsidRPr="00031085">
              <w:rPr>
                <w:rFonts w:ascii="Arial" w:hAnsi="Arial" w:cs="Arial"/>
                <w:sz w:val="21"/>
                <w:szCs w:val="21"/>
              </w:rPr>
              <w:t>202</w:t>
            </w:r>
            <w:r w:rsidR="00077362" w:rsidRPr="00031085">
              <w:rPr>
                <w:rFonts w:ascii="Arial" w:hAnsi="Arial" w:cs="Arial"/>
                <w:sz w:val="21"/>
                <w:szCs w:val="21"/>
              </w:rPr>
              <w:t>5</w:t>
            </w:r>
            <w:r w:rsidR="00701329" w:rsidRPr="00031085">
              <w:rPr>
                <w:rFonts w:ascii="Arial" w:hAnsi="Arial" w:cs="Arial"/>
                <w:sz w:val="21"/>
                <w:szCs w:val="21"/>
              </w:rPr>
              <w:t xml:space="preserve"> nezamestnanosť medziročne </w:t>
            </w:r>
            <w:r w:rsidRPr="00031085">
              <w:rPr>
                <w:rFonts w:ascii="Arial" w:hAnsi="Arial" w:cs="Arial"/>
                <w:sz w:val="21"/>
                <w:szCs w:val="21"/>
              </w:rPr>
              <w:t>vzrástla</w:t>
            </w:r>
            <w:r w:rsidR="00701329" w:rsidRPr="00031085">
              <w:rPr>
                <w:rFonts w:ascii="Arial" w:hAnsi="Arial" w:cs="Arial"/>
                <w:sz w:val="21"/>
                <w:szCs w:val="21"/>
              </w:rPr>
              <w:t xml:space="preserve"> o</w:t>
            </w:r>
            <w:r w:rsidRPr="00031085">
              <w:rPr>
                <w:rFonts w:ascii="Arial" w:hAnsi="Arial" w:cs="Arial"/>
                <w:sz w:val="21"/>
                <w:szCs w:val="21"/>
              </w:rPr>
              <w:t> 1,2</w:t>
            </w:r>
            <w:r w:rsidR="00701329" w:rsidRPr="00031085">
              <w:rPr>
                <w:rFonts w:ascii="Arial" w:hAnsi="Arial" w:cs="Arial"/>
                <w:sz w:val="21"/>
                <w:szCs w:val="21"/>
              </w:rPr>
              <w:t> % na 1</w:t>
            </w:r>
            <w:r w:rsidRPr="00031085">
              <w:rPr>
                <w:rFonts w:ascii="Arial" w:hAnsi="Arial" w:cs="Arial"/>
                <w:sz w:val="21"/>
                <w:szCs w:val="21"/>
              </w:rPr>
              <w:t>49</w:t>
            </w:r>
            <w:r w:rsidR="00701329" w:rsidRPr="00031085">
              <w:rPr>
                <w:rFonts w:ascii="Arial" w:hAnsi="Arial" w:cs="Arial"/>
                <w:sz w:val="21"/>
                <w:szCs w:val="21"/>
              </w:rPr>
              <w:t>,</w:t>
            </w:r>
            <w:r w:rsidRPr="00031085">
              <w:rPr>
                <w:rFonts w:ascii="Arial" w:hAnsi="Arial" w:cs="Arial"/>
                <w:sz w:val="21"/>
                <w:szCs w:val="21"/>
              </w:rPr>
              <w:t>5</w:t>
            </w:r>
            <w:r w:rsidR="00701329" w:rsidRPr="00031085">
              <w:rPr>
                <w:rFonts w:ascii="Arial" w:hAnsi="Arial" w:cs="Arial"/>
                <w:sz w:val="21"/>
                <w:szCs w:val="21"/>
              </w:rPr>
              <w:t> tis. osôb. Miera nezamestnanosti sa z</w:t>
            </w:r>
            <w:r w:rsidRPr="00031085">
              <w:rPr>
                <w:rFonts w:ascii="Arial" w:hAnsi="Arial" w:cs="Arial"/>
                <w:sz w:val="21"/>
                <w:szCs w:val="21"/>
              </w:rPr>
              <w:t>výšila</w:t>
            </w:r>
            <w:r w:rsidR="00701329" w:rsidRPr="00031085">
              <w:rPr>
                <w:rFonts w:ascii="Arial" w:hAnsi="Arial" w:cs="Arial"/>
                <w:sz w:val="21"/>
                <w:szCs w:val="21"/>
              </w:rPr>
              <w:t xml:space="preserve"> o 0,</w:t>
            </w:r>
            <w:r w:rsidR="00077362" w:rsidRPr="00031085">
              <w:rPr>
                <w:rFonts w:ascii="Arial" w:hAnsi="Arial" w:cs="Arial"/>
                <w:sz w:val="21"/>
                <w:szCs w:val="21"/>
              </w:rPr>
              <w:t>1</w:t>
            </w:r>
            <w:r w:rsidR="00701329" w:rsidRPr="00031085">
              <w:rPr>
                <w:rFonts w:ascii="Arial" w:hAnsi="Arial" w:cs="Arial"/>
                <w:sz w:val="21"/>
                <w:szCs w:val="21"/>
              </w:rPr>
              <w:t> p. b. na 5,</w:t>
            </w:r>
            <w:r w:rsidRPr="00031085">
              <w:rPr>
                <w:rFonts w:ascii="Arial" w:hAnsi="Arial" w:cs="Arial"/>
                <w:sz w:val="21"/>
                <w:szCs w:val="21"/>
              </w:rPr>
              <w:t>4</w:t>
            </w:r>
            <w:r w:rsidR="00701329" w:rsidRPr="00031085">
              <w:rPr>
                <w:rFonts w:ascii="Arial" w:hAnsi="Arial" w:cs="Arial"/>
                <w:sz w:val="21"/>
                <w:szCs w:val="21"/>
              </w:rPr>
              <w:t> %.</w:t>
            </w:r>
          </w:p>
          <w:p w14:paraId="5C4BD29E" w14:textId="77777777" w:rsidR="00CE3E98" w:rsidRPr="008B5BC4" w:rsidRDefault="00CE3E98" w:rsidP="008130D3">
            <w:pPr>
              <w:tabs>
                <w:tab w:val="left" w:pos="426"/>
              </w:tabs>
              <w:ind w:firstLine="284"/>
              <w:rPr>
                <w:rFonts w:ascii="Arial" w:hAnsi="Arial" w:cs="Arial"/>
                <w:bCs/>
                <w:color w:val="EE0000"/>
                <w:sz w:val="21"/>
                <w:szCs w:val="21"/>
              </w:rPr>
            </w:pPr>
          </w:p>
          <w:p w14:paraId="21AA75C6" w14:textId="0E71BFB9" w:rsidR="008130D3" w:rsidRPr="008B5BC4" w:rsidRDefault="003D7206" w:rsidP="008130D3">
            <w:pPr>
              <w:tabs>
                <w:tab w:val="left" w:pos="426"/>
              </w:tabs>
              <w:ind w:firstLine="284"/>
              <w:rPr>
                <w:rFonts w:ascii="Arial" w:hAnsi="Arial" w:cs="Arial"/>
                <w:color w:val="EE0000"/>
                <w:sz w:val="21"/>
                <w:szCs w:val="21"/>
              </w:rPr>
            </w:pPr>
            <w:r w:rsidRPr="00031085">
              <w:rPr>
                <w:rFonts w:ascii="Arial" w:hAnsi="Arial" w:cs="Arial"/>
                <w:bCs/>
                <w:sz w:val="21"/>
                <w:szCs w:val="21"/>
              </w:rPr>
              <w:t>P</w:t>
            </w:r>
            <w:r w:rsidRPr="00031085">
              <w:rPr>
                <w:rFonts w:ascii="Arial" w:hAnsi="Arial" w:cs="Arial"/>
                <w:sz w:val="21"/>
                <w:szCs w:val="21"/>
              </w:rPr>
              <w:t>riemerná nominálna mesačná mzda zamestnanca v hospodárstve SR dosiahla v</w:t>
            </w:r>
            <w:r w:rsidR="00031085" w:rsidRPr="00031085">
              <w:rPr>
                <w:rFonts w:ascii="Arial" w:hAnsi="Arial" w:cs="Arial"/>
                <w:sz w:val="21"/>
                <w:szCs w:val="21"/>
              </w:rPr>
              <w:t>o</w:t>
            </w:r>
            <w:r w:rsidRPr="00031085">
              <w:rPr>
                <w:rFonts w:ascii="Arial" w:hAnsi="Arial" w:cs="Arial"/>
                <w:sz w:val="21"/>
                <w:szCs w:val="21"/>
              </w:rPr>
              <w:t> </w:t>
            </w:r>
            <w:r w:rsidR="00031085" w:rsidRPr="00031085">
              <w:rPr>
                <w:rFonts w:ascii="Arial" w:hAnsi="Arial" w:cs="Arial"/>
                <w:sz w:val="21"/>
                <w:szCs w:val="21"/>
              </w:rPr>
              <w:t>4</w:t>
            </w:r>
            <w:r w:rsidR="000F7B04" w:rsidRPr="00031085">
              <w:rPr>
                <w:rFonts w:ascii="Arial" w:hAnsi="Arial" w:cs="Arial"/>
                <w:sz w:val="21"/>
                <w:szCs w:val="21"/>
              </w:rPr>
              <w:t>. štvrťroku 1</w:t>
            </w:r>
            <w:r w:rsidR="00E64795" w:rsidRPr="00031085">
              <w:rPr>
                <w:rFonts w:ascii="Arial" w:hAnsi="Arial" w:cs="Arial"/>
                <w:sz w:val="21"/>
                <w:szCs w:val="21"/>
              </w:rPr>
              <w:t> </w:t>
            </w:r>
            <w:r w:rsidR="00031085" w:rsidRPr="00031085">
              <w:rPr>
                <w:rFonts w:ascii="Arial" w:hAnsi="Arial" w:cs="Arial"/>
                <w:sz w:val="21"/>
                <w:szCs w:val="21"/>
              </w:rPr>
              <w:t>739</w:t>
            </w:r>
            <w:r w:rsidR="00E64795" w:rsidRPr="00031085">
              <w:rPr>
                <w:rFonts w:ascii="Arial" w:hAnsi="Arial" w:cs="Arial"/>
                <w:sz w:val="21"/>
                <w:szCs w:val="21"/>
              </w:rPr>
              <w:t xml:space="preserve"> </w:t>
            </w:r>
            <w:r w:rsidRPr="00031085">
              <w:rPr>
                <w:rFonts w:ascii="Arial" w:hAnsi="Arial" w:cs="Arial"/>
                <w:sz w:val="21"/>
                <w:szCs w:val="21"/>
              </w:rPr>
              <w:t>eur, medziročne sa zvýšila o</w:t>
            </w:r>
            <w:r w:rsidR="00767DDA" w:rsidRPr="00031085">
              <w:rPr>
                <w:rFonts w:ascii="Arial" w:hAnsi="Arial" w:cs="Arial"/>
                <w:sz w:val="21"/>
                <w:szCs w:val="21"/>
              </w:rPr>
              <w:t> 5,</w:t>
            </w:r>
            <w:r w:rsidR="00031085" w:rsidRPr="00031085">
              <w:rPr>
                <w:rFonts w:ascii="Arial" w:hAnsi="Arial" w:cs="Arial"/>
                <w:sz w:val="21"/>
                <w:szCs w:val="21"/>
              </w:rPr>
              <w:t>8</w:t>
            </w:r>
            <w:r w:rsidR="00806809" w:rsidRPr="00031085">
              <w:rPr>
                <w:rFonts w:ascii="Arial" w:hAnsi="Arial" w:cs="Arial"/>
                <w:sz w:val="21"/>
                <w:szCs w:val="21"/>
              </w:rPr>
              <w:t> </w:t>
            </w:r>
            <w:r w:rsidRPr="00031085">
              <w:rPr>
                <w:rFonts w:ascii="Arial" w:hAnsi="Arial" w:cs="Arial"/>
                <w:sz w:val="21"/>
                <w:szCs w:val="21"/>
              </w:rPr>
              <w:t>%. Po</w:t>
            </w:r>
            <w:r w:rsidR="00CE7A29" w:rsidRPr="00031085">
              <w:rPr>
                <w:rFonts w:ascii="Arial" w:hAnsi="Arial" w:cs="Arial"/>
                <w:sz w:val="21"/>
                <w:szCs w:val="21"/>
              </w:rPr>
              <w:t> </w:t>
            </w:r>
            <w:r w:rsidRPr="00031085">
              <w:rPr>
                <w:rFonts w:ascii="Arial" w:hAnsi="Arial" w:cs="Arial"/>
                <w:sz w:val="21"/>
                <w:szCs w:val="21"/>
              </w:rPr>
              <w:t xml:space="preserve">zohľadnení vývoja spotrebiteľských cien reálna mzda dosiahla </w:t>
            </w:r>
            <w:r w:rsidR="003E3D58" w:rsidRPr="00031085">
              <w:rPr>
                <w:rFonts w:ascii="Arial" w:hAnsi="Arial" w:cs="Arial"/>
                <w:sz w:val="21"/>
                <w:szCs w:val="21"/>
              </w:rPr>
              <w:t>rast, a</w:t>
            </w:r>
            <w:r w:rsidR="00F218C6" w:rsidRPr="00031085">
              <w:rPr>
                <w:rFonts w:ascii="Arial" w:hAnsi="Arial" w:cs="Arial"/>
                <w:sz w:val="21"/>
                <w:szCs w:val="21"/>
              </w:rPr>
              <w:t> </w:t>
            </w:r>
            <w:r w:rsidR="003E3D58" w:rsidRPr="00031085">
              <w:rPr>
                <w:rFonts w:ascii="Arial" w:hAnsi="Arial" w:cs="Arial"/>
                <w:sz w:val="21"/>
                <w:szCs w:val="21"/>
              </w:rPr>
              <w:t>to</w:t>
            </w:r>
            <w:r w:rsidRPr="00031085">
              <w:rPr>
                <w:rFonts w:ascii="Arial" w:hAnsi="Arial" w:cs="Arial"/>
                <w:sz w:val="21"/>
                <w:szCs w:val="21"/>
              </w:rPr>
              <w:t xml:space="preserve"> o</w:t>
            </w:r>
            <w:r w:rsidR="00767DDA" w:rsidRPr="00031085">
              <w:rPr>
                <w:rFonts w:ascii="Arial" w:hAnsi="Arial" w:cs="Arial"/>
                <w:sz w:val="21"/>
                <w:szCs w:val="21"/>
              </w:rPr>
              <w:t> 1,</w:t>
            </w:r>
            <w:r w:rsidR="00031085" w:rsidRPr="00031085">
              <w:rPr>
                <w:rFonts w:ascii="Arial" w:hAnsi="Arial" w:cs="Arial"/>
                <w:sz w:val="21"/>
                <w:szCs w:val="21"/>
              </w:rPr>
              <w:t>9</w:t>
            </w:r>
            <w:r w:rsidR="000F7B04" w:rsidRPr="00031085">
              <w:rPr>
                <w:rFonts w:ascii="Arial" w:hAnsi="Arial" w:cs="Arial"/>
                <w:sz w:val="21"/>
                <w:szCs w:val="21"/>
              </w:rPr>
              <w:t> </w:t>
            </w:r>
            <w:r w:rsidRPr="00031085">
              <w:rPr>
                <w:rFonts w:ascii="Arial" w:hAnsi="Arial" w:cs="Arial"/>
                <w:sz w:val="21"/>
                <w:szCs w:val="21"/>
              </w:rPr>
              <w:t>%.</w:t>
            </w:r>
            <w:r w:rsidRPr="008B5BC4">
              <w:rPr>
                <w:rFonts w:ascii="Arial" w:hAnsi="Arial" w:cs="Arial"/>
                <w:color w:val="EE0000"/>
                <w:sz w:val="21"/>
                <w:szCs w:val="21"/>
              </w:rPr>
              <w:t xml:space="preserve"> </w:t>
            </w:r>
            <w:r w:rsidR="008130D3" w:rsidRPr="005C670D">
              <w:rPr>
                <w:rFonts w:ascii="Arial" w:hAnsi="Arial" w:cs="Arial"/>
                <w:sz w:val="21"/>
                <w:szCs w:val="21"/>
              </w:rPr>
              <w:t xml:space="preserve">Sezónne </w:t>
            </w:r>
            <w:r w:rsidR="00E64795" w:rsidRPr="005C670D">
              <w:rPr>
                <w:rFonts w:ascii="Arial" w:hAnsi="Arial" w:cs="Arial"/>
                <w:sz w:val="21"/>
                <w:szCs w:val="21"/>
              </w:rPr>
              <w:t xml:space="preserve">očistená priemerná mzda oproti </w:t>
            </w:r>
            <w:r w:rsidR="005C670D" w:rsidRPr="005C670D">
              <w:rPr>
                <w:rFonts w:ascii="Arial" w:hAnsi="Arial" w:cs="Arial"/>
                <w:sz w:val="21"/>
                <w:szCs w:val="21"/>
              </w:rPr>
              <w:t>3</w:t>
            </w:r>
            <w:r w:rsidR="008130D3" w:rsidRPr="005C670D">
              <w:rPr>
                <w:rFonts w:ascii="Arial" w:hAnsi="Arial" w:cs="Arial"/>
                <w:sz w:val="21"/>
                <w:szCs w:val="21"/>
              </w:rPr>
              <w:t xml:space="preserve">. štvrťroku </w:t>
            </w:r>
            <w:r w:rsidR="00A23A68" w:rsidRPr="005C670D">
              <w:rPr>
                <w:rFonts w:ascii="Arial" w:hAnsi="Arial" w:cs="Arial"/>
                <w:sz w:val="21"/>
                <w:szCs w:val="21"/>
              </w:rPr>
              <w:t>202</w:t>
            </w:r>
            <w:r w:rsidR="00C038ED" w:rsidRPr="005C670D">
              <w:rPr>
                <w:rFonts w:ascii="Arial" w:hAnsi="Arial" w:cs="Arial"/>
                <w:sz w:val="21"/>
                <w:szCs w:val="21"/>
              </w:rPr>
              <w:t>5</w:t>
            </w:r>
            <w:r w:rsidR="00A23A68" w:rsidRPr="005C670D">
              <w:rPr>
                <w:rFonts w:ascii="Arial" w:hAnsi="Arial" w:cs="Arial"/>
                <w:sz w:val="21"/>
                <w:szCs w:val="21"/>
              </w:rPr>
              <w:t xml:space="preserve"> </w:t>
            </w:r>
            <w:r w:rsidR="005C670D">
              <w:rPr>
                <w:rFonts w:ascii="Arial" w:hAnsi="Arial" w:cs="Arial"/>
                <w:sz w:val="21"/>
                <w:szCs w:val="21"/>
              </w:rPr>
              <w:t>vzrástla o 1,5 %.</w:t>
            </w:r>
            <w:r w:rsidR="00DD479B" w:rsidRPr="005C670D">
              <w:rPr>
                <w:rFonts w:ascii="Arial" w:hAnsi="Arial" w:cs="Arial"/>
                <w:sz w:val="21"/>
                <w:szCs w:val="21"/>
              </w:rPr>
              <w:t xml:space="preserve">  </w:t>
            </w:r>
          </w:p>
          <w:p w14:paraId="6D64CDD7" w14:textId="77777777" w:rsidR="00EF5607" w:rsidRPr="008B5BC4" w:rsidRDefault="00EF5607" w:rsidP="009F4B5C">
            <w:pPr>
              <w:tabs>
                <w:tab w:val="left" w:pos="426"/>
              </w:tabs>
              <w:rPr>
                <w:rFonts w:ascii="Arial" w:hAnsi="Arial" w:cs="Arial"/>
                <w:color w:val="EE0000"/>
                <w:sz w:val="10"/>
                <w:szCs w:val="10"/>
              </w:rPr>
            </w:pPr>
          </w:p>
          <w:p w14:paraId="0954DEA3" w14:textId="172D2A25" w:rsidR="00450220" w:rsidRPr="00031085" w:rsidRDefault="00701329" w:rsidP="0039269B">
            <w:pPr>
              <w:tabs>
                <w:tab w:val="left" w:pos="426"/>
              </w:tabs>
              <w:rPr>
                <w:rFonts w:ascii="Arial" w:hAnsi="Arial" w:cs="Arial"/>
                <w:sz w:val="21"/>
                <w:szCs w:val="21"/>
              </w:rPr>
            </w:pPr>
            <w:r w:rsidRPr="008B5BC4">
              <w:rPr>
                <w:rFonts w:ascii="Arial" w:hAnsi="Arial" w:cs="Arial"/>
                <w:color w:val="EE0000"/>
                <w:sz w:val="21"/>
                <w:szCs w:val="21"/>
              </w:rPr>
              <w:t xml:space="preserve">     </w:t>
            </w:r>
            <w:r w:rsidR="00A23A68" w:rsidRPr="00031085">
              <w:rPr>
                <w:rFonts w:ascii="Arial" w:hAnsi="Arial" w:cs="Arial"/>
                <w:sz w:val="21"/>
                <w:szCs w:val="21"/>
              </w:rPr>
              <w:t xml:space="preserve">Dynamika rastu miezd </w:t>
            </w:r>
            <w:r w:rsidR="00031085" w:rsidRPr="00031085">
              <w:rPr>
                <w:rFonts w:ascii="Arial" w:hAnsi="Arial" w:cs="Arial"/>
                <w:sz w:val="21"/>
                <w:szCs w:val="21"/>
              </w:rPr>
              <w:t xml:space="preserve">sa </w:t>
            </w:r>
            <w:r w:rsidR="00A23A68" w:rsidRPr="00031085">
              <w:rPr>
                <w:rFonts w:ascii="Arial" w:hAnsi="Arial" w:cs="Arial"/>
                <w:sz w:val="21"/>
                <w:szCs w:val="21"/>
              </w:rPr>
              <w:t xml:space="preserve">oproti predošlému štvrťroku </w:t>
            </w:r>
            <w:r w:rsidR="002148C4" w:rsidRPr="00031085">
              <w:rPr>
                <w:rFonts w:ascii="Arial" w:hAnsi="Arial" w:cs="Arial"/>
                <w:sz w:val="21"/>
                <w:szCs w:val="21"/>
              </w:rPr>
              <w:t xml:space="preserve">mierne </w:t>
            </w:r>
            <w:r w:rsidR="00031085" w:rsidRPr="00031085">
              <w:rPr>
                <w:rFonts w:ascii="Arial" w:hAnsi="Arial" w:cs="Arial"/>
                <w:sz w:val="21"/>
                <w:szCs w:val="21"/>
              </w:rPr>
              <w:t>zvýšila</w:t>
            </w:r>
            <w:r w:rsidR="00A23A68" w:rsidRPr="00031085">
              <w:rPr>
                <w:rFonts w:ascii="Arial" w:hAnsi="Arial" w:cs="Arial"/>
                <w:sz w:val="21"/>
                <w:szCs w:val="21"/>
              </w:rPr>
              <w:t xml:space="preserve">. </w:t>
            </w:r>
            <w:r w:rsidR="00E64795" w:rsidRPr="00031085">
              <w:rPr>
                <w:rFonts w:ascii="Arial" w:hAnsi="Arial" w:cs="Arial"/>
                <w:sz w:val="21"/>
                <w:szCs w:val="21"/>
              </w:rPr>
              <w:t>Medziročn</w:t>
            </w:r>
            <w:r w:rsidR="00A23A68" w:rsidRPr="00031085">
              <w:rPr>
                <w:rFonts w:ascii="Arial" w:hAnsi="Arial" w:cs="Arial"/>
                <w:sz w:val="21"/>
                <w:szCs w:val="21"/>
              </w:rPr>
              <w:t>é zvýšenie</w:t>
            </w:r>
            <w:r w:rsidR="00E64795" w:rsidRPr="00031085">
              <w:rPr>
                <w:rFonts w:ascii="Arial" w:hAnsi="Arial" w:cs="Arial"/>
                <w:sz w:val="21"/>
                <w:szCs w:val="21"/>
              </w:rPr>
              <w:t xml:space="preserve"> priemernej </w:t>
            </w:r>
            <w:r w:rsidR="002148C4" w:rsidRPr="00031085">
              <w:rPr>
                <w:rFonts w:ascii="Arial" w:hAnsi="Arial" w:cs="Arial"/>
                <w:sz w:val="21"/>
                <w:szCs w:val="21"/>
              </w:rPr>
              <w:t>r</w:t>
            </w:r>
            <w:r w:rsidR="00A23A68" w:rsidRPr="00031085">
              <w:rPr>
                <w:rFonts w:ascii="Arial" w:hAnsi="Arial" w:cs="Arial"/>
                <w:sz w:val="21"/>
                <w:szCs w:val="21"/>
              </w:rPr>
              <w:t xml:space="preserve">eálnej </w:t>
            </w:r>
            <w:r w:rsidR="00E64795" w:rsidRPr="00031085">
              <w:rPr>
                <w:rFonts w:ascii="Arial" w:hAnsi="Arial" w:cs="Arial"/>
                <w:sz w:val="21"/>
                <w:szCs w:val="21"/>
              </w:rPr>
              <w:t xml:space="preserve">mzdy zaznamenalo </w:t>
            </w:r>
            <w:r w:rsidR="00C038ED" w:rsidRPr="00031085">
              <w:rPr>
                <w:rFonts w:ascii="Arial" w:hAnsi="Arial" w:cs="Arial"/>
                <w:sz w:val="21"/>
                <w:szCs w:val="21"/>
              </w:rPr>
              <w:t>všetkých</w:t>
            </w:r>
            <w:r w:rsidR="00E64795" w:rsidRPr="00031085">
              <w:rPr>
                <w:rFonts w:ascii="Arial" w:hAnsi="Arial" w:cs="Arial"/>
                <w:sz w:val="21"/>
                <w:szCs w:val="21"/>
              </w:rPr>
              <w:t xml:space="preserve"> 19 sledovaných odvetví hospodárstva. </w:t>
            </w:r>
          </w:p>
          <w:p w14:paraId="5CC7B4EC" w14:textId="77777777" w:rsidR="00701329" w:rsidRPr="008B5BC4" w:rsidRDefault="00701329" w:rsidP="0039269B">
            <w:pPr>
              <w:tabs>
                <w:tab w:val="left" w:pos="426"/>
              </w:tabs>
              <w:rPr>
                <w:rFonts w:ascii="Arial" w:hAnsi="Arial" w:cs="Arial"/>
                <w:color w:val="EE0000"/>
                <w:sz w:val="10"/>
                <w:szCs w:val="10"/>
              </w:rPr>
            </w:pPr>
          </w:p>
          <w:p w14:paraId="3CC576EE" w14:textId="610637AD" w:rsidR="00701329" w:rsidRPr="005C670D" w:rsidRDefault="00701329" w:rsidP="0039269B">
            <w:pPr>
              <w:tabs>
                <w:tab w:val="left" w:pos="426"/>
              </w:tabs>
              <w:rPr>
                <w:rFonts w:ascii="Arial" w:hAnsi="Arial" w:cs="Arial"/>
                <w:sz w:val="21"/>
                <w:szCs w:val="21"/>
              </w:rPr>
            </w:pPr>
            <w:r w:rsidRPr="008B5BC4">
              <w:rPr>
                <w:rFonts w:ascii="Arial" w:hAnsi="Arial" w:cs="Arial"/>
                <w:color w:val="EE0000"/>
                <w:sz w:val="21"/>
                <w:szCs w:val="21"/>
              </w:rPr>
              <w:t xml:space="preserve">     </w:t>
            </w:r>
            <w:r w:rsidRPr="005C670D">
              <w:rPr>
                <w:rFonts w:ascii="Arial" w:hAnsi="Arial" w:cs="Arial"/>
                <w:sz w:val="21"/>
                <w:szCs w:val="21"/>
              </w:rPr>
              <w:t>V </w:t>
            </w:r>
            <w:r w:rsidR="005E2DBF" w:rsidRPr="005C670D">
              <w:rPr>
                <w:rFonts w:ascii="Arial" w:hAnsi="Arial" w:cs="Arial"/>
                <w:sz w:val="21"/>
                <w:szCs w:val="21"/>
              </w:rPr>
              <w:t>roku</w:t>
            </w:r>
            <w:r w:rsidRPr="005C670D">
              <w:rPr>
                <w:rFonts w:ascii="Arial" w:hAnsi="Arial" w:cs="Arial"/>
                <w:sz w:val="21"/>
                <w:szCs w:val="21"/>
              </w:rPr>
              <w:t xml:space="preserve"> 202</w:t>
            </w:r>
            <w:r w:rsidR="00C038ED" w:rsidRPr="005C670D">
              <w:rPr>
                <w:rFonts w:ascii="Arial" w:hAnsi="Arial" w:cs="Arial"/>
                <w:sz w:val="21"/>
                <w:szCs w:val="21"/>
              </w:rPr>
              <w:t>5</w:t>
            </w:r>
            <w:r w:rsidRPr="005C670D">
              <w:rPr>
                <w:rFonts w:ascii="Arial" w:hAnsi="Arial" w:cs="Arial"/>
                <w:sz w:val="21"/>
                <w:szCs w:val="21"/>
              </w:rPr>
              <w:t xml:space="preserve"> dosiahla priemerná nominálna mesačná mzda zamestnanca v hospodárstve 1 </w:t>
            </w:r>
            <w:r w:rsidR="00031085" w:rsidRPr="005C670D">
              <w:rPr>
                <w:rFonts w:ascii="Arial" w:hAnsi="Arial" w:cs="Arial"/>
                <w:sz w:val="21"/>
                <w:szCs w:val="21"/>
              </w:rPr>
              <w:t>620</w:t>
            </w:r>
            <w:r w:rsidRPr="005C670D">
              <w:rPr>
                <w:rFonts w:ascii="Arial" w:hAnsi="Arial" w:cs="Arial"/>
                <w:sz w:val="21"/>
                <w:szCs w:val="21"/>
              </w:rPr>
              <w:t xml:space="preserve"> eur, medziročne sa zvýšila o</w:t>
            </w:r>
            <w:r w:rsidR="00C038ED" w:rsidRPr="005C670D">
              <w:rPr>
                <w:rFonts w:ascii="Arial" w:hAnsi="Arial" w:cs="Arial"/>
                <w:sz w:val="21"/>
                <w:szCs w:val="21"/>
              </w:rPr>
              <w:t> 6,</w:t>
            </w:r>
            <w:r w:rsidR="005C670D" w:rsidRPr="005C670D">
              <w:rPr>
                <w:rFonts w:ascii="Arial" w:hAnsi="Arial" w:cs="Arial"/>
                <w:sz w:val="21"/>
                <w:szCs w:val="21"/>
              </w:rPr>
              <w:t>3</w:t>
            </w:r>
            <w:r w:rsidRPr="005C670D">
              <w:rPr>
                <w:rFonts w:ascii="Arial" w:hAnsi="Arial" w:cs="Arial"/>
                <w:sz w:val="21"/>
                <w:szCs w:val="21"/>
              </w:rPr>
              <w:t> %. Reálna mzda stúpla o</w:t>
            </w:r>
            <w:r w:rsidR="00C038ED" w:rsidRPr="005C670D">
              <w:rPr>
                <w:rFonts w:ascii="Arial" w:hAnsi="Arial" w:cs="Arial"/>
                <w:sz w:val="21"/>
                <w:szCs w:val="21"/>
              </w:rPr>
              <w:t> 2,</w:t>
            </w:r>
            <w:r w:rsidR="005C670D" w:rsidRPr="005C670D">
              <w:rPr>
                <w:rFonts w:ascii="Arial" w:hAnsi="Arial" w:cs="Arial"/>
                <w:sz w:val="21"/>
                <w:szCs w:val="21"/>
              </w:rPr>
              <w:t>2</w:t>
            </w:r>
            <w:r w:rsidR="00C038ED" w:rsidRPr="005C670D">
              <w:rPr>
                <w:rFonts w:ascii="Arial" w:hAnsi="Arial" w:cs="Arial"/>
                <w:sz w:val="21"/>
                <w:szCs w:val="21"/>
              </w:rPr>
              <w:t> </w:t>
            </w:r>
            <w:r w:rsidRPr="005C670D">
              <w:rPr>
                <w:rFonts w:ascii="Arial" w:hAnsi="Arial" w:cs="Arial"/>
                <w:sz w:val="21"/>
                <w:szCs w:val="21"/>
              </w:rPr>
              <w:t>%.</w:t>
            </w:r>
          </w:p>
          <w:p w14:paraId="745B114A" w14:textId="77777777" w:rsidR="00CE4372" w:rsidRPr="005C670D" w:rsidRDefault="00CE4372" w:rsidP="0039269B">
            <w:pPr>
              <w:tabs>
                <w:tab w:val="left" w:pos="426"/>
              </w:tabs>
              <w:rPr>
                <w:rFonts w:ascii="Arial" w:hAnsi="Arial" w:cs="Arial"/>
                <w:sz w:val="21"/>
                <w:szCs w:val="21"/>
              </w:rPr>
            </w:pPr>
          </w:p>
          <w:p w14:paraId="49765220" w14:textId="5D029F4B" w:rsidR="00CE4372" w:rsidRPr="009F2CAE" w:rsidRDefault="00CE4372" w:rsidP="00CE4372">
            <w:pPr>
              <w:tabs>
                <w:tab w:val="left" w:pos="426"/>
              </w:tabs>
              <w:ind w:firstLine="284"/>
              <w:rPr>
                <w:rFonts w:ascii="Arial" w:hAnsi="Arial" w:cs="Arial"/>
                <w:color w:val="EE0000"/>
                <w:sz w:val="21"/>
                <w:szCs w:val="21"/>
              </w:rPr>
            </w:pPr>
          </w:p>
          <w:p w14:paraId="17EDC33F" w14:textId="77777777" w:rsidR="00450220" w:rsidRPr="009F2CAE" w:rsidRDefault="00450220" w:rsidP="009F4B5C">
            <w:pPr>
              <w:tabs>
                <w:tab w:val="left" w:pos="426"/>
              </w:tabs>
              <w:ind w:firstLine="284"/>
              <w:rPr>
                <w:rFonts w:ascii="Arial" w:hAnsi="Arial" w:cs="Arial"/>
                <w:color w:val="EE0000"/>
                <w:sz w:val="21"/>
                <w:szCs w:val="21"/>
              </w:rPr>
            </w:pPr>
          </w:p>
          <w:p w14:paraId="17680BED" w14:textId="77777777" w:rsidR="00EF5607" w:rsidRPr="009F2CAE" w:rsidRDefault="00EF5607" w:rsidP="009F4B5C">
            <w:pPr>
              <w:tabs>
                <w:tab w:val="left" w:pos="426"/>
              </w:tabs>
              <w:rPr>
                <w:color w:val="EE0000"/>
                <w:sz w:val="21"/>
                <w:szCs w:val="21"/>
              </w:rPr>
            </w:pPr>
          </w:p>
          <w:p w14:paraId="0D9E33E1" w14:textId="77777777" w:rsidR="003D7206" w:rsidRPr="009F2CAE" w:rsidRDefault="003D7206" w:rsidP="009F4B5C">
            <w:pPr>
              <w:tabs>
                <w:tab w:val="left" w:pos="426"/>
              </w:tabs>
              <w:rPr>
                <w:color w:val="EE0000"/>
                <w:sz w:val="21"/>
                <w:szCs w:val="21"/>
              </w:rPr>
            </w:pPr>
          </w:p>
          <w:p w14:paraId="0938FBBC" w14:textId="77777777" w:rsidR="003D7206" w:rsidRPr="009F2CAE" w:rsidRDefault="003D7206" w:rsidP="009F4B5C">
            <w:pPr>
              <w:tabs>
                <w:tab w:val="left" w:pos="426"/>
              </w:tabs>
              <w:rPr>
                <w:color w:val="EE0000"/>
                <w:sz w:val="21"/>
                <w:szCs w:val="21"/>
              </w:rPr>
            </w:pPr>
          </w:p>
          <w:p w14:paraId="6A1E093A" w14:textId="77777777" w:rsidR="003D7206" w:rsidRPr="009F2CAE" w:rsidRDefault="003D7206" w:rsidP="009F4B5C">
            <w:pPr>
              <w:tabs>
                <w:tab w:val="left" w:pos="426"/>
              </w:tabs>
              <w:rPr>
                <w:color w:val="EE0000"/>
                <w:sz w:val="21"/>
                <w:szCs w:val="21"/>
              </w:rPr>
            </w:pPr>
          </w:p>
          <w:p w14:paraId="1D54DD2D" w14:textId="77777777" w:rsidR="003D7206" w:rsidRPr="009F2CAE" w:rsidRDefault="003D7206" w:rsidP="009F4B5C">
            <w:pPr>
              <w:tabs>
                <w:tab w:val="left" w:pos="426"/>
              </w:tabs>
              <w:rPr>
                <w:color w:val="EE0000"/>
                <w:sz w:val="21"/>
                <w:szCs w:val="21"/>
              </w:rPr>
            </w:pPr>
          </w:p>
          <w:p w14:paraId="5BB5B86D" w14:textId="77777777" w:rsidR="00EF5607" w:rsidRPr="009F2CAE" w:rsidRDefault="00EF5607" w:rsidP="009F4B5C">
            <w:pPr>
              <w:tabs>
                <w:tab w:val="left" w:pos="426"/>
              </w:tabs>
              <w:ind w:firstLine="284"/>
              <w:rPr>
                <w:rFonts w:ascii="Arial" w:hAnsi="Arial" w:cs="Arial"/>
                <w:color w:val="EE0000"/>
                <w:sz w:val="21"/>
                <w:szCs w:val="21"/>
              </w:rPr>
            </w:pPr>
          </w:p>
          <w:p w14:paraId="65710676" w14:textId="77777777" w:rsidR="00513C22" w:rsidRPr="009F2CAE" w:rsidRDefault="00513C22" w:rsidP="009F4B5C">
            <w:pPr>
              <w:tabs>
                <w:tab w:val="left" w:pos="426"/>
              </w:tabs>
              <w:rPr>
                <w:rFonts w:ascii="Arial" w:hAnsi="Arial"/>
                <w:color w:val="EE0000"/>
                <w:sz w:val="21"/>
                <w:szCs w:val="21"/>
              </w:rPr>
            </w:pPr>
          </w:p>
        </w:tc>
      </w:tr>
      <w:tr w:rsidR="00E852A9" w:rsidRPr="009D750F" w14:paraId="1964B1E9" w14:textId="77777777" w:rsidTr="00FB0D77">
        <w:trPr>
          <w:trHeight w:hRule="exact" w:val="80"/>
        </w:trPr>
        <w:tc>
          <w:tcPr>
            <w:tcW w:w="2443" w:type="dxa"/>
            <w:tcBorders>
              <w:top w:val="nil"/>
              <w:left w:val="nil"/>
              <w:bottom w:val="nil"/>
              <w:right w:val="nil"/>
            </w:tcBorders>
          </w:tcPr>
          <w:p w14:paraId="110DB33C" w14:textId="77777777" w:rsidR="00513C22" w:rsidRPr="009D750F" w:rsidRDefault="00513C22" w:rsidP="009F4B5C">
            <w:pPr>
              <w:pStyle w:val="BodyText28"/>
              <w:tabs>
                <w:tab w:val="left" w:pos="426"/>
              </w:tabs>
              <w:jc w:val="left"/>
              <w:rPr>
                <w:b/>
                <w:sz w:val="20"/>
              </w:rPr>
            </w:pPr>
          </w:p>
        </w:tc>
        <w:tc>
          <w:tcPr>
            <w:tcW w:w="96" w:type="dxa"/>
            <w:tcBorders>
              <w:top w:val="nil"/>
              <w:left w:val="nil"/>
              <w:bottom w:val="nil"/>
              <w:right w:val="nil"/>
            </w:tcBorders>
          </w:tcPr>
          <w:p w14:paraId="55A1CE27" w14:textId="77777777" w:rsidR="00513C22" w:rsidRPr="009D750F" w:rsidRDefault="00513C22" w:rsidP="009F4B5C">
            <w:pPr>
              <w:tabs>
                <w:tab w:val="left" w:pos="426"/>
              </w:tabs>
              <w:rPr>
                <w:rFonts w:ascii="Arial" w:hAnsi="Arial"/>
              </w:rPr>
            </w:pPr>
          </w:p>
        </w:tc>
        <w:tc>
          <w:tcPr>
            <w:tcW w:w="6804" w:type="dxa"/>
            <w:gridSpan w:val="5"/>
            <w:tcBorders>
              <w:top w:val="nil"/>
              <w:left w:val="nil"/>
              <w:bottom w:val="nil"/>
              <w:right w:val="nil"/>
            </w:tcBorders>
          </w:tcPr>
          <w:p w14:paraId="3B6E8157" w14:textId="77777777" w:rsidR="00513C22" w:rsidRPr="009D750F" w:rsidRDefault="00513C22" w:rsidP="009F4B5C">
            <w:pPr>
              <w:tabs>
                <w:tab w:val="left" w:pos="426"/>
              </w:tabs>
              <w:rPr>
                <w:sz w:val="21"/>
                <w:szCs w:val="21"/>
              </w:rPr>
            </w:pPr>
          </w:p>
        </w:tc>
      </w:tr>
      <w:bookmarkEnd w:id="0"/>
      <w:bookmarkEnd w:id="1"/>
      <w:bookmarkEnd w:id="2"/>
      <w:bookmarkEnd w:id="3"/>
      <w:bookmarkEnd w:id="4"/>
      <w:bookmarkEnd w:id="5"/>
      <w:bookmarkEnd w:id="6"/>
      <w:bookmarkEnd w:id="7"/>
    </w:tbl>
    <w:p w14:paraId="470A002D" w14:textId="77777777" w:rsidR="003D7206" w:rsidRPr="009D750F" w:rsidRDefault="003D7206" w:rsidP="009F4B5C">
      <w:pPr>
        <w:tabs>
          <w:tab w:val="left" w:pos="426"/>
        </w:tabs>
        <w:rPr>
          <w:rFonts w:ascii="Arial" w:hAnsi="Arial"/>
          <w:b/>
          <w:caps/>
        </w:rPr>
      </w:pPr>
    </w:p>
    <w:p w14:paraId="65B59197" w14:textId="177D6726" w:rsidR="003D7206" w:rsidRDefault="003D7206" w:rsidP="009F4B5C">
      <w:pPr>
        <w:tabs>
          <w:tab w:val="left" w:pos="426"/>
        </w:tabs>
        <w:rPr>
          <w:rFonts w:ascii="Arial" w:hAnsi="Arial"/>
          <w:b/>
          <w:caps/>
        </w:rPr>
      </w:pPr>
    </w:p>
    <w:p w14:paraId="40EADC7E" w14:textId="04BBC1AF" w:rsidR="00B47967" w:rsidRDefault="00B47967" w:rsidP="009F4B5C">
      <w:pPr>
        <w:tabs>
          <w:tab w:val="left" w:pos="426"/>
        </w:tabs>
        <w:rPr>
          <w:rFonts w:ascii="Arial" w:hAnsi="Arial"/>
          <w:b/>
          <w:caps/>
        </w:rPr>
      </w:pPr>
    </w:p>
    <w:p w14:paraId="3202167D" w14:textId="77777777" w:rsidR="00B47967" w:rsidRPr="009D750F" w:rsidRDefault="00B47967" w:rsidP="009F4B5C">
      <w:pPr>
        <w:tabs>
          <w:tab w:val="left" w:pos="426"/>
        </w:tabs>
        <w:rPr>
          <w:rFonts w:ascii="Arial" w:hAnsi="Arial"/>
          <w:b/>
          <w:caps/>
        </w:rPr>
      </w:pPr>
    </w:p>
    <w:p w14:paraId="019F467F" w14:textId="77777777" w:rsidR="003D7206" w:rsidRPr="009D750F" w:rsidRDefault="003D7206" w:rsidP="009F4B5C">
      <w:pPr>
        <w:tabs>
          <w:tab w:val="left" w:pos="426"/>
        </w:tabs>
        <w:rPr>
          <w:rFonts w:ascii="Arial" w:hAnsi="Arial"/>
          <w:b/>
          <w:caps/>
        </w:rPr>
      </w:pPr>
    </w:p>
    <w:p w14:paraId="5660142F" w14:textId="22EB50B2" w:rsidR="003D7206" w:rsidRDefault="003D7206" w:rsidP="009F4B5C">
      <w:pPr>
        <w:tabs>
          <w:tab w:val="left" w:pos="426"/>
        </w:tabs>
        <w:rPr>
          <w:rFonts w:ascii="Arial" w:hAnsi="Arial"/>
          <w:b/>
          <w:caps/>
        </w:rPr>
      </w:pPr>
    </w:p>
    <w:p w14:paraId="38836F3E" w14:textId="77777777" w:rsidR="00214796" w:rsidRPr="009D750F" w:rsidRDefault="00214796" w:rsidP="009F4B5C">
      <w:pPr>
        <w:tabs>
          <w:tab w:val="left" w:pos="426"/>
        </w:tabs>
        <w:rPr>
          <w:rFonts w:ascii="Arial" w:hAnsi="Arial"/>
          <w:b/>
          <w:caps/>
        </w:rPr>
      </w:pPr>
    </w:p>
    <w:p w14:paraId="3EF322B2" w14:textId="77777777" w:rsidR="003D7206" w:rsidRPr="009D750F" w:rsidRDefault="003D7206" w:rsidP="009F4B5C">
      <w:pPr>
        <w:tabs>
          <w:tab w:val="left" w:pos="426"/>
        </w:tabs>
        <w:rPr>
          <w:rFonts w:ascii="Arial" w:hAnsi="Arial"/>
          <w:b/>
          <w:caps/>
        </w:rPr>
      </w:pPr>
    </w:p>
    <w:p w14:paraId="216DE5E4" w14:textId="19612E1A" w:rsidR="00F029E2" w:rsidRPr="009D750F" w:rsidRDefault="00FA456E" w:rsidP="009F4B5C">
      <w:pPr>
        <w:tabs>
          <w:tab w:val="left" w:pos="426"/>
        </w:tabs>
        <w:rPr>
          <w:rFonts w:ascii="Arial" w:hAnsi="Arial"/>
          <w:b/>
          <w:caps/>
        </w:rPr>
      </w:pPr>
      <w:r>
        <w:rPr>
          <w:rFonts w:ascii="Arial" w:hAnsi="Arial"/>
          <w:b/>
          <w:caps/>
        </w:rPr>
        <w:lastRenderedPageBreak/>
        <w:t>2. Hrubý domáci produkt</w:t>
      </w:r>
      <w:r w:rsidR="00F029E2" w:rsidRPr="009D750F">
        <w:rPr>
          <w:rStyle w:val="Odkaznapoznmkupodiarou"/>
          <w:rFonts w:ascii="Arial" w:hAnsi="Arial"/>
        </w:rPr>
        <w:footnoteReference w:id="7"/>
      </w:r>
      <w:r w:rsidR="00F029E2" w:rsidRPr="009D750F">
        <w:rPr>
          <w:rStyle w:val="Odkaznapoznmkupodiarou"/>
          <w:rFonts w:ascii="Arial" w:hAnsi="Arial"/>
        </w:rPr>
        <w:t>)</w:t>
      </w:r>
    </w:p>
    <w:p w14:paraId="1019209E" w14:textId="06635A8B" w:rsidR="00C8139F" w:rsidRPr="009D750F" w:rsidRDefault="00DD479B" w:rsidP="009F4B5C">
      <w:pPr>
        <w:tabs>
          <w:tab w:val="left" w:pos="426"/>
        </w:tabs>
        <w:rPr>
          <w:rFonts w:ascii="Arial" w:hAnsi="Arial"/>
          <w:b/>
          <w:caps/>
          <w:sz w:val="12"/>
        </w:rPr>
      </w:pPr>
      <w:r>
        <w:rPr>
          <w:rFonts w:ascii="Arial" w:hAnsi="Arial"/>
          <w:sz w:val="20"/>
        </w:rPr>
        <w:t xml:space="preserve"> </w:t>
      </w:r>
      <w:r w:rsidR="00F029E2" w:rsidRPr="009D750F">
        <w:rPr>
          <w:rFonts w:ascii="Arial" w:hAnsi="Arial"/>
          <w:sz w:val="20"/>
        </w:rPr>
        <w:t xml:space="preserve">(tab. </w:t>
      </w:r>
      <w:r w:rsidR="00CB648F">
        <w:rPr>
          <w:rFonts w:ascii="Arial" w:hAnsi="Arial"/>
          <w:sz w:val="20"/>
        </w:rPr>
        <w:t>T</w:t>
      </w:r>
      <w:r w:rsidR="00F029E2" w:rsidRPr="009D750F">
        <w:rPr>
          <w:rFonts w:ascii="Arial" w:hAnsi="Arial"/>
          <w:sz w:val="20"/>
        </w:rPr>
        <w:t>2)</w:t>
      </w:r>
      <w:r w:rsidR="00F029E2" w:rsidRPr="009D750F">
        <w:rPr>
          <w:rFonts w:ascii="Arial" w:hAnsi="Arial"/>
          <w:b/>
          <w:caps/>
          <w:sz w:val="12"/>
        </w:rPr>
        <w:tab/>
      </w:r>
    </w:p>
    <w:p w14:paraId="2F04F723" w14:textId="77777777" w:rsidR="00F029E2" w:rsidRPr="009D750F" w:rsidRDefault="00F029E2" w:rsidP="009F4B5C">
      <w:pPr>
        <w:tabs>
          <w:tab w:val="left" w:pos="426"/>
        </w:tabs>
        <w:rPr>
          <w:rFonts w:ascii="Arial" w:hAnsi="Arial"/>
          <w:b/>
          <w:caps/>
          <w:sz w:val="12"/>
        </w:rPr>
      </w:pPr>
      <w:r w:rsidRPr="009D750F">
        <w:rPr>
          <w:rFonts w:ascii="Arial" w:hAnsi="Arial"/>
          <w:b/>
          <w:caps/>
          <w:sz w:val="12"/>
        </w:rPr>
        <w:tab/>
      </w:r>
      <w:r w:rsidRPr="009D750F">
        <w:rPr>
          <w:rFonts w:ascii="Arial" w:hAnsi="Arial"/>
          <w:b/>
          <w:caps/>
          <w:sz w:val="12"/>
        </w:rPr>
        <w:tab/>
      </w:r>
      <w:r w:rsidRPr="009D750F">
        <w:rPr>
          <w:rFonts w:ascii="Arial" w:hAnsi="Arial"/>
          <w:b/>
          <w:caps/>
          <w:sz w:val="12"/>
        </w:rPr>
        <w:tab/>
      </w:r>
    </w:p>
    <w:p w14:paraId="6C89B3DB" w14:textId="77777777" w:rsidR="00F029E2" w:rsidRPr="009D750F" w:rsidRDefault="00F029E2" w:rsidP="009F4B5C">
      <w:pPr>
        <w:tabs>
          <w:tab w:val="left" w:pos="426"/>
        </w:tabs>
        <w:rPr>
          <w:rFonts w:ascii="Arial" w:hAnsi="Arial"/>
          <w:caps/>
          <w:sz w:val="14"/>
          <w:szCs w:val="14"/>
        </w:rPr>
      </w:pPr>
    </w:p>
    <w:p w14:paraId="6C9EB610" w14:textId="456CBA70" w:rsidR="005065DF" w:rsidRPr="0040437B" w:rsidRDefault="00387F9E" w:rsidP="005065DF">
      <w:pPr>
        <w:tabs>
          <w:tab w:val="left" w:pos="426"/>
        </w:tabs>
        <w:spacing w:after="100"/>
        <w:ind w:firstLine="284"/>
        <w:rPr>
          <w:rFonts w:ascii="Arial" w:hAnsi="Arial" w:cs="Arial"/>
          <w:szCs w:val="22"/>
        </w:rPr>
      </w:pPr>
      <w:r w:rsidRPr="00387F9E">
        <w:rPr>
          <w:rFonts w:ascii="Arial" w:hAnsi="Arial" w:cs="Arial"/>
          <w:szCs w:val="22"/>
        </w:rPr>
        <w:t>Slovenská ekonomika si v roku 2025 udržala mierny rast, tempo jej napredovania však bolo najpomalšie za posledné tri roky. Dynamika výkonnosti bola počas celého minulého roka slabá, iba v poslednom štvrťroku sa dostala na hranicu 1 %. Ekonomický výkon v ročnej bilancii potiahli domácnosti, investície a zahraničný obchod. Domácnostiam spotreba rástla hlavne v prvej polovici roka, v závere roka sa však pohybovala v mínusových hodnotách, pretože domácnosti výdavky výrazne obmedzili. Investície ťahali ekonomiku predovšetkým v druhej polovici roka. Darilo sa aj zahraničnému obchodu, rástol vývoz aj dovoz, ale saldo v bežných cenách zostalo za celý rok v miernom mínuse. Výrobné odvetvia tiež prispeli k celkovému rastu HDP, avšak počas celého roka sa ich výkony udržali len mierne nad nulou</w:t>
      </w:r>
      <w:r w:rsidRPr="008A2F86">
        <w:rPr>
          <w:rFonts w:ascii="Arial" w:hAnsi="Arial" w:cs="Arial"/>
          <w:color w:val="0070C0"/>
          <w:szCs w:val="22"/>
        </w:rPr>
        <w:t>.</w:t>
      </w:r>
      <w:r w:rsidR="005065DF" w:rsidRPr="0040437B">
        <w:rPr>
          <w:rFonts w:ascii="Arial" w:hAnsi="Arial" w:cs="Arial"/>
          <w:szCs w:val="22"/>
        </w:rPr>
        <w:t xml:space="preserve"> </w:t>
      </w:r>
    </w:p>
    <w:p w14:paraId="0F1605BF" w14:textId="78EB7667" w:rsidR="00123655" w:rsidRDefault="005065DF" w:rsidP="005065DF">
      <w:pPr>
        <w:tabs>
          <w:tab w:val="left" w:pos="426"/>
        </w:tabs>
        <w:spacing w:after="100"/>
        <w:ind w:firstLine="284"/>
        <w:rPr>
          <w:rFonts w:ascii="Arial" w:hAnsi="Arial"/>
        </w:rPr>
      </w:pPr>
      <w:r w:rsidRPr="00387F9E">
        <w:rPr>
          <w:rFonts w:ascii="Arial" w:hAnsi="Arial" w:cs="Arial"/>
          <w:b/>
          <w:szCs w:val="22"/>
        </w:rPr>
        <w:t>Hrubý domáci produkt (HDP)</w:t>
      </w:r>
      <w:r w:rsidRPr="00387F9E">
        <w:rPr>
          <w:rFonts w:ascii="Arial" w:hAnsi="Arial" w:cs="Arial"/>
          <w:szCs w:val="22"/>
        </w:rPr>
        <w:t xml:space="preserve"> </w:t>
      </w:r>
      <w:r w:rsidR="00387F9E" w:rsidRPr="00387F9E">
        <w:rPr>
          <w:rFonts w:ascii="Arial" w:hAnsi="Arial" w:cs="Arial"/>
          <w:szCs w:val="22"/>
        </w:rPr>
        <w:t>sa vo 4. štvrťroku 2025 medziročne zvýšil o 1 % (v stálych cenách, sezónne neupravený). Objem HDP v bež</w:t>
      </w:r>
      <w:r w:rsidR="00387F9E" w:rsidRPr="00387F9E">
        <w:rPr>
          <w:rFonts w:ascii="Arial" w:hAnsi="Arial" w:cs="Arial"/>
          <w:szCs w:val="22"/>
        </w:rPr>
        <w:softHyphen/>
        <w:t>ných ce</w:t>
      </w:r>
      <w:r w:rsidR="00387F9E" w:rsidRPr="00387F9E">
        <w:rPr>
          <w:rFonts w:ascii="Arial" w:hAnsi="Arial" w:cs="Arial"/>
          <w:szCs w:val="22"/>
        </w:rPr>
        <w:softHyphen/>
        <w:t>nách bol medziročne vyšší o 5,9 % a dosiahol takmer</w:t>
      </w:r>
      <w:r w:rsidR="00387F9E">
        <w:rPr>
          <w:rFonts w:ascii="Arial" w:hAnsi="Arial" w:cs="Arial"/>
          <w:szCs w:val="22"/>
        </w:rPr>
        <w:t xml:space="preserve"> 35,9</w:t>
      </w:r>
      <w:r w:rsidR="00387F9E" w:rsidRPr="003B0DC4">
        <w:rPr>
          <w:rFonts w:ascii="Arial" w:hAnsi="Arial" w:cs="Arial"/>
          <w:szCs w:val="22"/>
        </w:rPr>
        <w:t> mld. eur. V medzikvartálnom porovnaní (oproti 3. štvrťroku 2025) bola sezónne upravená tvorba HDP reálne vyššia o</w:t>
      </w:r>
      <w:r w:rsidR="00387F9E">
        <w:rPr>
          <w:rFonts w:ascii="Arial" w:hAnsi="Arial" w:cs="Arial"/>
          <w:szCs w:val="22"/>
        </w:rPr>
        <w:t> 0,3</w:t>
      </w:r>
      <w:r w:rsidR="00387F9E" w:rsidRPr="003B0DC4">
        <w:rPr>
          <w:rFonts w:ascii="Arial" w:hAnsi="Arial" w:cs="Arial"/>
          <w:szCs w:val="22"/>
        </w:rPr>
        <w:t> %.</w:t>
      </w:r>
      <w:r w:rsidR="00123655" w:rsidRPr="00BF0923">
        <w:rPr>
          <w:rStyle w:val="Odkaznapoznmkupodiarou"/>
          <w:rFonts w:ascii="Arial" w:hAnsi="Arial"/>
        </w:rPr>
        <w:footnoteReference w:id="8"/>
      </w:r>
      <w:r w:rsidR="00123655" w:rsidRPr="00BF0923">
        <w:rPr>
          <w:rStyle w:val="Odkaznapoznmkupodiarou"/>
          <w:rFonts w:ascii="Arial" w:hAnsi="Arial"/>
        </w:rPr>
        <w:t>)</w:t>
      </w:r>
    </w:p>
    <w:p w14:paraId="483528A7" w14:textId="3C85E0CA" w:rsidR="00BF0923" w:rsidRPr="000325F1" w:rsidRDefault="00387F9E" w:rsidP="005065DF">
      <w:pPr>
        <w:tabs>
          <w:tab w:val="left" w:pos="426"/>
        </w:tabs>
        <w:spacing w:after="100"/>
        <w:ind w:firstLine="284"/>
        <w:rPr>
          <w:rFonts w:ascii="Arial" w:hAnsi="Arial"/>
        </w:rPr>
      </w:pPr>
      <w:r w:rsidRPr="003B0DC4">
        <w:rPr>
          <w:rFonts w:ascii="Arial" w:hAnsi="Arial" w:cs="Arial"/>
          <w:b/>
        </w:rPr>
        <w:t>V súhrne za rok 2025</w:t>
      </w:r>
      <w:r w:rsidRPr="003B0DC4">
        <w:rPr>
          <w:rFonts w:ascii="Arial" w:hAnsi="Arial" w:cs="Arial"/>
        </w:rPr>
        <w:t xml:space="preserve"> dosiahol nominálny objem vytvoreného HDP necelých </w:t>
      </w:r>
      <w:r>
        <w:rPr>
          <w:rFonts w:ascii="Arial" w:hAnsi="Arial" w:cs="Arial"/>
        </w:rPr>
        <w:t>136,8</w:t>
      </w:r>
      <w:r w:rsidRPr="003B0DC4">
        <w:rPr>
          <w:rFonts w:ascii="Arial" w:hAnsi="Arial" w:cs="Arial"/>
        </w:rPr>
        <w:t xml:space="preserve"> mld. eur. V stálych cenách vzrástol o</w:t>
      </w:r>
      <w:r>
        <w:rPr>
          <w:rFonts w:ascii="Arial" w:hAnsi="Arial" w:cs="Arial"/>
        </w:rPr>
        <w:t> 0,8</w:t>
      </w:r>
      <w:r w:rsidRPr="003B0DC4">
        <w:rPr>
          <w:rFonts w:ascii="Arial" w:hAnsi="Arial" w:cs="Arial"/>
        </w:rPr>
        <w:t> %, v bežných cenách sa medziročne zvýšil o </w:t>
      </w:r>
      <w:r>
        <w:rPr>
          <w:rFonts w:ascii="Arial" w:hAnsi="Arial" w:cs="Arial"/>
        </w:rPr>
        <w:t>5</w:t>
      </w:r>
      <w:r w:rsidRPr="003B0DC4">
        <w:rPr>
          <w:rFonts w:ascii="Arial" w:hAnsi="Arial" w:cs="Arial"/>
        </w:rPr>
        <w:t> %.</w:t>
      </w:r>
    </w:p>
    <w:p w14:paraId="16A7B9DC" w14:textId="6A775BCE" w:rsidR="00F029E2" w:rsidRDefault="00F460F4" w:rsidP="003B5A14">
      <w:pPr>
        <w:jc w:val="center"/>
        <w:rPr>
          <w:noProof/>
        </w:rPr>
      </w:pPr>
      <w:r>
        <w:rPr>
          <w:noProof/>
        </w:rPr>
        <w:drawing>
          <wp:inline distT="0" distB="0" distL="0" distR="0" wp14:anchorId="0009E80C" wp14:editId="1717D1A7">
            <wp:extent cx="4785254" cy="3228975"/>
            <wp:effectExtent l="0" t="0" r="0" b="0"/>
            <wp:docPr id="1631601711" name="Graf 1">
              <a:extLst xmlns:a="http://schemas.openxmlformats.org/drawingml/2006/main">
                <a:ext uri="{FF2B5EF4-FFF2-40B4-BE49-F238E27FC236}">
                  <a16:creationId xmlns:a16="http://schemas.microsoft.com/office/drawing/2014/main" id="{FD6C8E7B-57BA-0B20-76EC-0200DDD393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91EF62" w14:textId="77777777" w:rsidR="00F029E2" w:rsidRPr="009D750F" w:rsidRDefault="00F029E2" w:rsidP="009F4B5C">
      <w:pPr>
        <w:tabs>
          <w:tab w:val="left" w:pos="426"/>
        </w:tabs>
        <w:rPr>
          <w:rFonts w:ascii="Arial" w:hAnsi="Arial" w:cs="Arial"/>
          <w:sz w:val="12"/>
          <w:szCs w:val="12"/>
        </w:rPr>
      </w:pPr>
    </w:p>
    <w:p w14:paraId="5F25C517" w14:textId="69ADCBA4" w:rsidR="00F029E2" w:rsidRPr="009D750F" w:rsidRDefault="00F029E2" w:rsidP="009F4B5C">
      <w:pPr>
        <w:tabs>
          <w:tab w:val="left" w:pos="426"/>
        </w:tabs>
        <w:rPr>
          <w:rFonts w:ascii="Arial" w:hAnsi="Arial"/>
          <w:b/>
          <w:szCs w:val="22"/>
        </w:rPr>
      </w:pPr>
      <w:r w:rsidRPr="009D750F">
        <w:rPr>
          <w:rFonts w:ascii="Arial" w:hAnsi="Arial"/>
          <w:b/>
          <w:caps/>
          <w:szCs w:val="22"/>
        </w:rPr>
        <w:t>2.1 </w:t>
      </w:r>
      <w:r w:rsidRPr="009D750F">
        <w:rPr>
          <w:rFonts w:ascii="Arial" w:hAnsi="Arial"/>
          <w:b/>
          <w:szCs w:val="22"/>
        </w:rPr>
        <w:t xml:space="preserve">Výrobná metóda </w:t>
      </w:r>
    </w:p>
    <w:p w14:paraId="4706F625" w14:textId="22B29891" w:rsidR="00F029E2" w:rsidRPr="009D750F" w:rsidRDefault="00DD479B" w:rsidP="009F4B5C">
      <w:pPr>
        <w:pStyle w:val="BodyText212"/>
        <w:tabs>
          <w:tab w:val="left" w:pos="426"/>
        </w:tabs>
      </w:pPr>
      <w:r>
        <w:t xml:space="preserve">   </w:t>
      </w:r>
      <w:r w:rsidR="00CB648F">
        <w:t>(tab.</w:t>
      </w:r>
      <w:r w:rsidR="00F029E2" w:rsidRPr="009D750F">
        <w:t xml:space="preserve"> </w:t>
      </w:r>
      <w:r w:rsidR="00CB648F">
        <w:t>T</w:t>
      </w:r>
      <w:r w:rsidR="00B0035E">
        <w:t>5</w:t>
      </w:r>
      <w:r w:rsidR="00F029E2" w:rsidRPr="009D750F">
        <w:t xml:space="preserve">, </w:t>
      </w:r>
      <w:r w:rsidR="00CB648F">
        <w:t>T</w:t>
      </w:r>
      <w:r w:rsidR="00B0035E">
        <w:t>6</w:t>
      </w:r>
      <w:r w:rsidR="00F029E2" w:rsidRPr="009D750F">
        <w:t>)</w:t>
      </w:r>
    </w:p>
    <w:p w14:paraId="711DCDC5" w14:textId="77777777" w:rsidR="00367C56" w:rsidRPr="009D750F" w:rsidRDefault="00367C56" w:rsidP="009F4B5C">
      <w:pPr>
        <w:pStyle w:val="BodyText212"/>
        <w:tabs>
          <w:tab w:val="left" w:pos="426"/>
        </w:tabs>
      </w:pPr>
    </w:p>
    <w:p w14:paraId="5C024E87" w14:textId="6C1CC9EC" w:rsidR="00123655" w:rsidRPr="004170F5" w:rsidRDefault="00387F9E" w:rsidP="00123655">
      <w:pPr>
        <w:spacing w:after="100"/>
        <w:ind w:firstLine="284"/>
        <w:rPr>
          <w:rFonts w:ascii="Arial" w:hAnsi="Arial" w:cs="Arial"/>
        </w:rPr>
      </w:pPr>
      <w:r w:rsidRPr="007A4C1C">
        <w:rPr>
          <w:rFonts w:ascii="Arial" w:hAnsi="Arial" w:cs="Arial"/>
        </w:rPr>
        <w:t xml:space="preserve">Odvetvia hospodárstva zaznamenali vo 4. štvrťroku nevýrazný medziročný rast výkonov. Objem </w:t>
      </w:r>
      <w:r w:rsidRPr="007A4C1C">
        <w:rPr>
          <w:rFonts w:ascii="Arial" w:hAnsi="Arial" w:cs="Arial"/>
          <w:b/>
          <w:bCs/>
        </w:rPr>
        <w:t>hrubej pridanej hodnoty</w:t>
      </w:r>
      <w:r w:rsidRPr="007A4C1C">
        <w:rPr>
          <w:rFonts w:ascii="Arial" w:hAnsi="Arial" w:cs="Arial"/>
        </w:rPr>
        <w:t xml:space="preserve"> dosiahol reálne v stálych cenách </w:t>
      </w:r>
      <w:r w:rsidRPr="00387F9E">
        <w:rPr>
          <w:rFonts w:ascii="Arial" w:hAnsi="Arial" w:cs="Arial"/>
        </w:rPr>
        <w:t>necelých</w:t>
      </w:r>
      <w:r>
        <w:rPr>
          <w:rFonts w:ascii="Arial" w:hAnsi="Arial" w:cs="Arial"/>
        </w:rPr>
        <w:t xml:space="preserve"> </w:t>
      </w:r>
      <w:r w:rsidRPr="007A4C1C">
        <w:rPr>
          <w:rFonts w:ascii="Arial" w:hAnsi="Arial" w:cs="Arial"/>
        </w:rPr>
        <w:t>24,3 mld. eur, čo predstavovalo nepatrné medziročné navýšenie tejto kľúčovej zložky HDP o 0,2 %.</w:t>
      </w:r>
    </w:p>
    <w:p w14:paraId="29EC397B" w14:textId="31E382F0" w:rsidR="00E31A2A" w:rsidRPr="005065DF" w:rsidRDefault="00387F9E" w:rsidP="00BF0923">
      <w:pPr>
        <w:spacing w:after="100"/>
        <w:ind w:firstLine="284"/>
        <w:rPr>
          <w:rFonts w:ascii="Arial" w:hAnsi="Arial" w:cs="Arial"/>
        </w:rPr>
      </w:pPr>
      <w:r w:rsidRPr="007A4C1C">
        <w:rPr>
          <w:rFonts w:ascii="Arial" w:hAnsi="Arial" w:cs="Arial"/>
        </w:rPr>
        <w:t xml:space="preserve">Rast hrubej pridanej hodnoty zaznamenalo </w:t>
      </w:r>
      <w:r w:rsidRPr="00387F9E">
        <w:rPr>
          <w:rFonts w:ascii="Arial" w:hAnsi="Arial" w:cs="Arial"/>
        </w:rPr>
        <w:t xml:space="preserve">5 z 10 sledovaných skupín odvetví. Najväčší vplyv na celkový výsledok mal priemysel s medziročne vyšším výkonom o 0,8 %. </w:t>
      </w:r>
      <w:r w:rsidRPr="00387F9E">
        <w:rPr>
          <w:rFonts w:ascii="Arial" w:hAnsi="Arial" w:cs="Arial"/>
          <w:shd w:val="clear" w:color="auto" w:fill="FFFFFF" w:themeFill="background1"/>
        </w:rPr>
        <w:t xml:space="preserve">V pluse ho podržala výroba kovov a kovových konštrukcií o 10,1 %, </w:t>
      </w:r>
      <w:r w:rsidRPr="00387F9E">
        <w:rPr>
          <w:rFonts w:ascii="Arial" w:hAnsi="Arial" w:cs="Arial"/>
        </w:rPr>
        <w:t xml:space="preserve">výroba strojov a zariadení o 4,7 %, </w:t>
      </w:r>
      <w:r w:rsidRPr="00387F9E">
        <w:rPr>
          <w:rFonts w:ascii="Arial" w:hAnsi="Arial" w:cs="Arial"/>
          <w:shd w:val="clear" w:color="auto" w:fill="FFFFFF" w:themeFill="background1"/>
        </w:rPr>
        <w:t xml:space="preserve">výroba </w:t>
      </w:r>
      <w:r w:rsidRPr="00387F9E">
        <w:rPr>
          <w:rFonts w:ascii="Arial" w:hAnsi="Arial" w:cs="Arial"/>
        </w:rPr>
        <w:t>textilu</w:t>
      </w:r>
      <w:r>
        <w:rPr>
          <w:rFonts w:ascii="Arial" w:hAnsi="Arial" w:cs="Arial"/>
        </w:rPr>
        <w:t xml:space="preserve"> a </w:t>
      </w:r>
      <w:r w:rsidRPr="00387F9E">
        <w:rPr>
          <w:rFonts w:ascii="Arial" w:hAnsi="Arial" w:cs="Arial"/>
        </w:rPr>
        <w:t xml:space="preserve">kože o 11,1 % </w:t>
      </w:r>
      <w:r w:rsidRPr="00387F9E">
        <w:rPr>
          <w:rFonts w:ascii="Arial" w:hAnsi="Arial" w:cs="Arial"/>
          <w:shd w:val="clear" w:color="auto" w:fill="FFFFFF" w:themeFill="background1"/>
        </w:rPr>
        <w:t xml:space="preserve">a výroba potravín ako aj výroba elektrických zariadení rovnako </w:t>
      </w:r>
      <w:r w:rsidRPr="00387F9E">
        <w:rPr>
          <w:rFonts w:ascii="Arial" w:hAnsi="Arial" w:cs="Arial"/>
          <w:shd w:val="clear" w:color="auto" w:fill="FFFFFF" w:themeFill="background1"/>
        </w:rPr>
        <w:lastRenderedPageBreak/>
        <w:t xml:space="preserve">o 4,9 %. </w:t>
      </w:r>
      <w:r w:rsidRPr="00387F9E">
        <w:rPr>
          <w:rFonts w:ascii="Arial" w:hAnsi="Arial" w:cs="Arial"/>
        </w:rPr>
        <w:t xml:space="preserve">Naopak, rast utlmil najmä pokles vo </w:t>
      </w:r>
      <w:r w:rsidRPr="00387F9E">
        <w:rPr>
          <w:rFonts w:ascii="Arial" w:hAnsi="Arial" w:cs="Arial"/>
          <w:shd w:val="clear" w:color="auto" w:fill="FFFFFF" w:themeFill="background1"/>
        </w:rPr>
        <w:t xml:space="preserve">výrobe dopravných prostriedkov o 7,2  % a vo </w:t>
      </w:r>
      <w:r w:rsidRPr="00387F9E">
        <w:rPr>
          <w:rFonts w:ascii="Arial" w:hAnsi="Arial" w:cs="Arial"/>
        </w:rPr>
        <w:t>výrobe výrobkov z gumy a plastu o 12,9 %.</w:t>
      </w:r>
      <w:r w:rsidRPr="007A4C1C">
        <w:rPr>
          <w:rFonts w:ascii="Arial" w:hAnsi="Arial" w:cs="Arial"/>
        </w:rPr>
        <w:t xml:space="preserve"> Priemysel je váhovo najvýznamnejším odvetvím ekonomiky s aktuálnym podielom 24,2 % na celkovej pridanej hodnote.</w:t>
      </w:r>
    </w:p>
    <w:p w14:paraId="4CC1847A" w14:textId="77777777" w:rsidR="00387F9E" w:rsidRPr="00387F9E" w:rsidRDefault="00387F9E" w:rsidP="00387F9E">
      <w:pPr>
        <w:spacing w:after="100"/>
        <w:ind w:firstLine="284"/>
        <w:rPr>
          <w:rFonts w:ascii="Arial" w:hAnsi="Arial" w:cs="Arial"/>
        </w:rPr>
      </w:pPr>
      <w:r w:rsidRPr="00387F9E">
        <w:rPr>
          <w:rFonts w:ascii="Arial" w:hAnsi="Arial" w:cs="Arial"/>
        </w:rPr>
        <w:t>Mierne vyššiu výkonnosť zaznamenali aj skupiny odvetví informácie a komunikácie o 2,3 %, verejná správa, obrana, povinné sociálne zabezpečenie; vzdelávanie; zdravotníctvo a sociálna pomoc</w:t>
      </w:r>
      <w:r w:rsidRPr="00387F9E">
        <w:rPr>
          <w:rFonts w:ascii="Arial" w:hAnsi="Arial" w:cs="Arial"/>
          <w:color w:val="EE0000"/>
        </w:rPr>
        <w:t xml:space="preserve"> </w:t>
      </w:r>
      <w:r w:rsidRPr="00387F9E">
        <w:rPr>
          <w:rFonts w:ascii="Arial" w:hAnsi="Arial" w:cs="Arial"/>
        </w:rPr>
        <w:t>o 0,4 % a odborné, vedecké a technické činnosti, administratívne služby o 0,5 %. Plusové hodnoty dosiahli aj finančné a poisťovacie činnosti o 1,3 %.</w:t>
      </w:r>
    </w:p>
    <w:p w14:paraId="6B9B6EC1" w14:textId="37041D21" w:rsidR="00F40DDB" w:rsidRDefault="00387F9E" w:rsidP="00387F9E">
      <w:pPr>
        <w:spacing w:after="100"/>
        <w:ind w:firstLine="284"/>
        <w:rPr>
          <w:rFonts w:ascii="Arial" w:hAnsi="Arial" w:cs="Arial"/>
        </w:rPr>
      </w:pPr>
      <w:r w:rsidRPr="00387F9E">
        <w:rPr>
          <w:rFonts w:ascii="Arial" w:hAnsi="Arial" w:cs="Arial"/>
        </w:rPr>
        <w:t>Naopak, nižšie výkony boli v činnostiach v oblasti nehnuteľností o 2,1 %, stavebníctve o 1,4 %, obchode, doprave, ubytovaní a stravovaní o 0,2 %</w:t>
      </w:r>
      <w:r w:rsidRPr="00387F9E">
        <w:rPr>
          <w:rFonts w:ascii="Arial" w:hAnsi="Arial" w:cs="Arial"/>
          <w:color w:val="EE0000"/>
        </w:rPr>
        <w:t xml:space="preserve"> </w:t>
      </w:r>
      <w:r w:rsidRPr="00387F9E">
        <w:rPr>
          <w:rFonts w:ascii="Arial" w:hAnsi="Arial" w:cs="Arial"/>
        </w:rPr>
        <w:t>a tiež v poľnohospodárstve, lesníctve a rybolove o 1,8 %. Čisté dane sa zvýšili o 8,4 %.</w:t>
      </w:r>
    </w:p>
    <w:p w14:paraId="05BFC351" w14:textId="2E219F56" w:rsidR="00387F9E" w:rsidRPr="00387F9E" w:rsidRDefault="00387F9E" w:rsidP="00387F9E">
      <w:pPr>
        <w:spacing w:after="100"/>
        <w:ind w:firstLine="284"/>
        <w:rPr>
          <w:rFonts w:ascii="Arial" w:hAnsi="Arial" w:cs="Arial"/>
        </w:rPr>
      </w:pPr>
      <w:r w:rsidRPr="00387F9E">
        <w:rPr>
          <w:rFonts w:ascii="Arial" w:hAnsi="Arial" w:cs="Arial"/>
          <w:b/>
          <w:spacing w:val="-2"/>
          <w:szCs w:val="22"/>
        </w:rPr>
        <w:t xml:space="preserve">V súhrne za rok 2025 </w:t>
      </w:r>
      <w:r w:rsidRPr="00387F9E">
        <w:rPr>
          <w:rFonts w:ascii="Arial" w:hAnsi="Arial" w:cs="Arial"/>
          <w:spacing w:val="-2"/>
          <w:szCs w:val="22"/>
        </w:rPr>
        <w:t>zaznamenala rast hrubá produkcia o 1,1 % aj medzispotreba o 1,6 %. Pridaná hodnota sa udržala v miernom medziročnom raste o 0,3 % . M</w:t>
      </w:r>
      <w:r w:rsidRPr="00387F9E">
        <w:rPr>
          <w:rFonts w:ascii="Arial" w:hAnsi="Arial" w:cs="Arial"/>
        </w:rPr>
        <w:t>edziročné zvýšenie zaznamenalo 6 z 10 sledovaných skupín odvetví. Najvýznamnejší vplyv mal jednoznačne rast priemyslu o 1,6 %.</w:t>
      </w:r>
      <w:r w:rsidRPr="00387F9E">
        <w:rPr>
          <w:rFonts w:ascii="Arial" w:hAnsi="Arial" w:cs="Arial"/>
          <w:spacing w:val="-2"/>
        </w:rPr>
        <w:t xml:space="preserve"> </w:t>
      </w:r>
      <w:r w:rsidRPr="00387F9E">
        <w:rPr>
          <w:rFonts w:ascii="Arial" w:hAnsi="Arial" w:cs="Arial"/>
        </w:rPr>
        <w:t>V štruktúre priemyslu rástla výroba v 11 z 13 priemyselných odvetví, najvýznamnejšie výroba kovov a kovových konštrukcií o 4 %, výroba výrobkov z gumy a plastu o 2 %, výroba textilu</w:t>
      </w:r>
      <w:r>
        <w:rPr>
          <w:rFonts w:ascii="Arial" w:hAnsi="Arial" w:cs="Arial"/>
        </w:rPr>
        <w:t xml:space="preserve"> a </w:t>
      </w:r>
      <w:r w:rsidRPr="00387F9E">
        <w:rPr>
          <w:rFonts w:ascii="Arial" w:hAnsi="Arial" w:cs="Arial"/>
        </w:rPr>
        <w:t xml:space="preserve">kože o 6,8 % a výroba strojov a zariadení o 1,5 %. Pokles zaznamenala výroba počítačových, elektronických a optických výrobkov o 7,4 % a  výroba chemikálií a chemických produktov o 5,3 %. </w:t>
      </w:r>
    </w:p>
    <w:p w14:paraId="28B49B9F" w14:textId="2E4A301F" w:rsidR="00387F9E" w:rsidRPr="00387F9E" w:rsidRDefault="00B51DBD" w:rsidP="00387F9E">
      <w:pPr>
        <w:tabs>
          <w:tab w:val="left" w:pos="426"/>
        </w:tabs>
        <w:spacing w:after="120"/>
        <w:rPr>
          <w:rFonts w:ascii="Arial" w:hAnsi="Arial" w:cs="Arial"/>
        </w:rPr>
      </w:pPr>
      <w:r>
        <w:rPr>
          <w:rFonts w:ascii="Arial" w:hAnsi="Arial" w:cs="Arial"/>
        </w:rPr>
        <w:tab/>
      </w:r>
      <w:r w:rsidR="00387F9E" w:rsidRPr="00387F9E">
        <w:rPr>
          <w:rFonts w:ascii="Arial" w:hAnsi="Arial" w:cs="Arial"/>
        </w:rPr>
        <w:t xml:space="preserve">Pozitívny vplyv na rast ekonomiky mal aj rast pridanej hodnoty vo veľkoobchode a maloobchode, oprave motorových vozidiel a motocyklov; doprave a skladovaní; ubytovacích a stravovacích službách o 0,7 % a vo verejnej správe, obrane, povinnom sociálnom zabezpečení; vzdelávaní; zdravotníctve a sociálnej pomoci o 0,6 %. Rast ekonomiky sa udržal aj vo finančných a poisťovacích činnostiach o 1,9 %. Čisté dane boli za rok 2025 vyššie o 5,5 %. </w:t>
      </w:r>
    </w:p>
    <w:p w14:paraId="64923E42" w14:textId="7FB0DA69" w:rsidR="00155724" w:rsidRPr="00CE4372" w:rsidRDefault="00387F9E" w:rsidP="00B51DBD">
      <w:pPr>
        <w:spacing w:after="100"/>
        <w:ind w:firstLine="426"/>
        <w:rPr>
          <w:rFonts w:ascii="Arial" w:hAnsi="Arial" w:cs="Arial"/>
          <w:color w:val="FF0000"/>
          <w:spacing w:val="-2"/>
          <w:szCs w:val="22"/>
        </w:rPr>
      </w:pPr>
      <w:r w:rsidRPr="00387F9E">
        <w:rPr>
          <w:rFonts w:ascii="Arial" w:hAnsi="Arial" w:cs="Arial"/>
        </w:rPr>
        <w:t>Výrazne tlmiaci vplyv na celkový výsledok mali výrazne nižšie výkony v činnostiach v oblasti nehnuteľností o 2,6 % a do 1 % aj v stavebníctve, tiež poľnohospodárstve, lesníctve a rybolove ako aj v umení, zábave a rekreácii.</w:t>
      </w:r>
    </w:p>
    <w:p w14:paraId="16D2D0EB" w14:textId="522F0F91" w:rsidR="00314BA8" w:rsidRPr="00CE4372" w:rsidRDefault="00314BA8" w:rsidP="009F4B5C">
      <w:pPr>
        <w:tabs>
          <w:tab w:val="left" w:pos="426"/>
        </w:tabs>
        <w:rPr>
          <w:rFonts w:ascii="Arial" w:hAnsi="Arial"/>
          <w:b/>
          <w:caps/>
          <w:color w:val="FF0000"/>
          <w:szCs w:val="22"/>
        </w:rPr>
      </w:pPr>
    </w:p>
    <w:p w14:paraId="30A5729B" w14:textId="77777777" w:rsidR="00F029E2" w:rsidRPr="00E31A2A" w:rsidRDefault="00F029E2" w:rsidP="009F4B5C">
      <w:pPr>
        <w:tabs>
          <w:tab w:val="left" w:pos="426"/>
        </w:tabs>
        <w:rPr>
          <w:rStyle w:val="Odkaznapoznmkupodiarou"/>
          <w:sz w:val="22"/>
          <w:szCs w:val="22"/>
        </w:rPr>
      </w:pPr>
      <w:r w:rsidRPr="00E31A2A">
        <w:rPr>
          <w:rFonts w:ascii="Arial" w:hAnsi="Arial"/>
          <w:b/>
          <w:caps/>
          <w:szCs w:val="22"/>
        </w:rPr>
        <w:t>2.2 </w:t>
      </w:r>
      <w:r w:rsidRPr="00E31A2A">
        <w:rPr>
          <w:rFonts w:ascii="Arial" w:hAnsi="Arial"/>
          <w:b/>
          <w:szCs w:val="22"/>
        </w:rPr>
        <w:t>Výdavková metóda</w:t>
      </w:r>
    </w:p>
    <w:p w14:paraId="562A76BB" w14:textId="709F997F" w:rsidR="00F029E2" w:rsidRPr="00E31A2A" w:rsidRDefault="00DD479B" w:rsidP="009F4B5C">
      <w:pPr>
        <w:tabs>
          <w:tab w:val="left" w:pos="426"/>
        </w:tabs>
        <w:rPr>
          <w:rFonts w:ascii="Arial" w:hAnsi="Arial"/>
          <w:sz w:val="20"/>
        </w:rPr>
      </w:pPr>
      <w:r>
        <w:rPr>
          <w:rFonts w:ascii="Arial" w:hAnsi="Arial"/>
          <w:sz w:val="20"/>
        </w:rPr>
        <w:t xml:space="preserve">   </w:t>
      </w:r>
      <w:r w:rsidR="00F029E2" w:rsidRPr="00E31A2A">
        <w:rPr>
          <w:rFonts w:ascii="Arial" w:hAnsi="Arial"/>
          <w:sz w:val="20"/>
        </w:rPr>
        <w:t xml:space="preserve">(tab. </w:t>
      </w:r>
      <w:r w:rsidR="00CB648F" w:rsidRPr="00E31A2A">
        <w:rPr>
          <w:rFonts w:ascii="Arial" w:hAnsi="Arial"/>
          <w:sz w:val="20"/>
        </w:rPr>
        <w:t>T</w:t>
      </w:r>
      <w:r w:rsidR="00F029E2" w:rsidRPr="00E31A2A">
        <w:rPr>
          <w:rFonts w:ascii="Arial" w:hAnsi="Arial"/>
          <w:sz w:val="20"/>
        </w:rPr>
        <w:t>3</w:t>
      </w:r>
      <w:r w:rsidR="00B0035E" w:rsidRPr="00E31A2A">
        <w:rPr>
          <w:rFonts w:ascii="Arial" w:hAnsi="Arial"/>
          <w:sz w:val="20"/>
        </w:rPr>
        <w:t>, T4</w:t>
      </w:r>
      <w:r w:rsidR="00F029E2" w:rsidRPr="00E31A2A">
        <w:rPr>
          <w:rFonts w:ascii="Arial" w:hAnsi="Arial"/>
          <w:sz w:val="20"/>
        </w:rPr>
        <w:t>)</w:t>
      </w:r>
      <w:r w:rsidR="00F029E2" w:rsidRPr="00E31A2A">
        <w:rPr>
          <w:rFonts w:ascii="Arial" w:hAnsi="Arial"/>
          <w:b/>
          <w:caps/>
          <w:sz w:val="20"/>
        </w:rPr>
        <w:tab/>
      </w:r>
    </w:p>
    <w:p w14:paraId="3619B648" w14:textId="77777777" w:rsidR="00F029E2" w:rsidRPr="00E31A2A" w:rsidRDefault="00F029E2" w:rsidP="009F4B5C">
      <w:pPr>
        <w:tabs>
          <w:tab w:val="left" w:pos="426"/>
        </w:tabs>
        <w:rPr>
          <w:rFonts w:ascii="Arial" w:hAnsi="Arial" w:cs="Arial"/>
          <w:sz w:val="14"/>
          <w:szCs w:val="14"/>
        </w:rPr>
      </w:pPr>
    </w:p>
    <w:p w14:paraId="24F01A87" w14:textId="77777777" w:rsidR="00876FF3" w:rsidRPr="00876FF3" w:rsidRDefault="00876FF3" w:rsidP="00876FF3">
      <w:pPr>
        <w:spacing w:after="100"/>
        <w:ind w:firstLine="284"/>
        <w:rPr>
          <w:rFonts w:ascii="Arial" w:hAnsi="Arial" w:cs="Arial"/>
        </w:rPr>
      </w:pPr>
      <w:r w:rsidRPr="00876FF3">
        <w:rPr>
          <w:rFonts w:ascii="Arial" w:hAnsi="Arial" w:cs="Arial"/>
        </w:rPr>
        <w:t xml:space="preserve">Podľa výdavkových zložiek HDP skončil </w:t>
      </w:r>
      <w:r w:rsidRPr="00876FF3">
        <w:rPr>
          <w:rFonts w:ascii="Arial" w:hAnsi="Arial" w:cs="Arial"/>
          <w:b/>
          <w:bCs/>
        </w:rPr>
        <w:t>domáci dopyt</w:t>
      </w:r>
      <w:r w:rsidRPr="00876FF3">
        <w:rPr>
          <w:rFonts w:ascii="Arial" w:hAnsi="Arial" w:cs="Arial"/>
        </w:rPr>
        <w:t xml:space="preserve"> vo 4. štvrťroku 2025 takmer na nule, rast bol len o necelých 0,2 %. V rozhodujúcej miere prepadu domáceho dopytu zabránili rastúce investície, ktoré tak len dorovnali výrazný prepad spotreby domácností.</w:t>
      </w:r>
      <w:r w:rsidRPr="00876FF3">
        <w:rPr>
          <w:rFonts w:ascii="Arial" w:hAnsi="Arial" w:cs="Arial"/>
          <w:b/>
          <w:bCs/>
        </w:rPr>
        <w:t xml:space="preserve"> </w:t>
      </w:r>
      <w:r w:rsidRPr="00876FF3">
        <w:rPr>
          <w:rFonts w:ascii="Arial" w:hAnsi="Arial" w:cs="Arial"/>
        </w:rPr>
        <w:t>Investičný</w:t>
      </w:r>
      <w:r w:rsidRPr="00876FF3">
        <w:rPr>
          <w:rFonts w:ascii="Arial" w:hAnsi="Arial" w:cs="Arial"/>
          <w:b/>
          <w:bCs/>
        </w:rPr>
        <w:t xml:space="preserve"> </w:t>
      </w:r>
      <w:r w:rsidRPr="00876FF3">
        <w:rPr>
          <w:rFonts w:ascii="Arial" w:hAnsi="Arial" w:cs="Arial"/>
        </w:rPr>
        <w:t xml:space="preserve">rast meraný </w:t>
      </w:r>
      <w:r w:rsidRPr="00876FF3">
        <w:rPr>
          <w:rFonts w:ascii="Arial" w:hAnsi="Arial" w:cs="Arial"/>
          <w:b/>
          <w:bCs/>
        </w:rPr>
        <w:t>tvorbou hrubého fixného kapitálu</w:t>
      </w:r>
      <w:r w:rsidRPr="00876FF3">
        <w:rPr>
          <w:rFonts w:ascii="Arial" w:hAnsi="Arial" w:cs="Arial"/>
        </w:rPr>
        <w:t xml:space="preserve"> bol na konci roka medziročne najvýraznejší, o 6,1 %, rástol tretí štvrťrok za sebou. Rast evidovala aj tvorba hrubého kapitálu v stálych cenách o 4,1 %, a to vplyvom výrazného zníženia objemu zmeny stavu zásob v bežných cenách o takmer 1,7 mld. eur.</w:t>
      </w:r>
    </w:p>
    <w:p w14:paraId="2A367D25" w14:textId="77777777" w:rsidR="00876FF3" w:rsidRPr="00876FF3" w:rsidRDefault="00876FF3" w:rsidP="00876FF3">
      <w:pPr>
        <w:spacing w:after="100"/>
        <w:ind w:firstLine="284"/>
        <w:rPr>
          <w:rFonts w:ascii="Arial" w:hAnsi="Arial" w:cs="Arial"/>
        </w:rPr>
      </w:pPr>
      <w:r w:rsidRPr="00876FF3">
        <w:rPr>
          <w:rFonts w:ascii="Arial" w:hAnsi="Arial" w:cs="Arial"/>
        </w:rPr>
        <w:t>Naopak, domácnosti na konci roka výrazne pribrzdili míňanie, čo spôsobilo medziročný pokles spotreby o 1,2 %, prvýkrát po siedmich štvrťrokoch rastu. Obmedzovanie rastu výdavkov sa ukázalo aj vo verejnej správe, spotreba vzrástla o 0,3 %, čo bolo najpomalšie tempo za posledné dva roky. Konečná spotreba neziskových inštitúcií slúžiacich domácnostiam evidovala pokles už dva roky v rade, vo 4. štvrťroku o 8,7 %.</w:t>
      </w:r>
    </w:p>
    <w:p w14:paraId="076BAE97" w14:textId="77777777" w:rsidR="00876FF3" w:rsidRPr="00876FF3" w:rsidRDefault="00876FF3" w:rsidP="00876FF3">
      <w:pPr>
        <w:spacing w:after="100"/>
        <w:ind w:firstLine="284"/>
        <w:rPr>
          <w:rFonts w:ascii="Arial" w:hAnsi="Arial" w:cs="Arial"/>
        </w:rPr>
      </w:pPr>
      <w:r w:rsidRPr="00876FF3">
        <w:rPr>
          <w:rFonts w:ascii="Arial" w:hAnsi="Arial" w:cs="Arial"/>
          <w:bCs/>
        </w:rPr>
        <w:t xml:space="preserve">K rastu HDP prispel </w:t>
      </w:r>
      <w:r w:rsidRPr="00876FF3">
        <w:rPr>
          <w:rFonts w:ascii="Arial" w:hAnsi="Arial" w:cs="Arial"/>
          <w:b/>
        </w:rPr>
        <w:t>vývoz výrobkov a služieb</w:t>
      </w:r>
      <w:r w:rsidRPr="00876FF3">
        <w:rPr>
          <w:rFonts w:ascii="Arial" w:hAnsi="Arial" w:cs="Arial"/>
          <w:bCs/>
        </w:rPr>
        <w:t xml:space="preserve"> s  výkonom vyšším o 3,6 % a </w:t>
      </w:r>
      <w:r w:rsidRPr="00876FF3">
        <w:rPr>
          <w:rFonts w:ascii="Arial" w:hAnsi="Arial" w:cs="Arial"/>
          <w:b/>
        </w:rPr>
        <w:t>dovoz výrobkov a služieb</w:t>
      </w:r>
      <w:r w:rsidRPr="00876FF3">
        <w:rPr>
          <w:rFonts w:ascii="Arial" w:hAnsi="Arial" w:cs="Arial"/>
          <w:bCs/>
        </w:rPr>
        <w:t xml:space="preserve"> o 2,7 %. </w:t>
      </w:r>
      <w:bookmarkStart w:id="9" w:name="_Hlk207285296"/>
      <w:r w:rsidRPr="00876FF3">
        <w:rPr>
          <w:rFonts w:ascii="Arial" w:hAnsi="Arial" w:cs="Arial"/>
          <w:bCs/>
        </w:rPr>
        <w:t>Vplyvom mierne vyššieho dovozu však dosiahlo saldo zahraničného obchodu v bežných cenách mierne záporné hodnoty, druhýkrát za minulý rok.</w:t>
      </w:r>
      <w:bookmarkEnd w:id="9"/>
      <w:r w:rsidRPr="00876FF3">
        <w:rPr>
          <w:rFonts w:ascii="Arial" w:hAnsi="Arial" w:cs="Arial"/>
        </w:rPr>
        <w:t xml:space="preserve"> </w:t>
      </w:r>
    </w:p>
    <w:p w14:paraId="5DBE78EE" w14:textId="49158888" w:rsidR="00C01784" w:rsidRPr="00C01784" w:rsidRDefault="00876FF3" w:rsidP="00876FF3">
      <w:pPr>
        <w:spacing w:after="100"/>
        <w:ind w:firstLine="284"/>
        <w:rPr>
          <w:rFonts w:ascii="Arial" w:hAnsi="Arial" w:cs="Arial"/>
        </w:rPr>
      </w:pPr>
      <w:r w:rsidRPr="00876FF3">
        <w:rPr>
          <w:rFonts w:ascii="Arial" w:hAnsi="Arial" w:cs="Arial"/>
        </w:rPr>
        <w:t>Exportná výkonnosť zaznamenala medziročný pokles, podiel zahraničného dopytu na HDP sa oproti 4. štvrťroku 2024 znížil o 0,7 p. b. na 85,3 %. Nižšia bola aj dovozná náročnosť ekonomiky, podiel dovozu výrobkov a služieb na HDP klesol o 2,6 p. b. na 86,4</w:t>
      </w:r>
      <w:r w:rsidRPr="00876FF3">
        <w:rPr>
          <w:rFonts w:ascii="Arial" w:hAnsi="Arial" w:cs="Arial"/>
          <w:shd w:val="clear" w:color="auto" w:fill="FFFFFF" w:themeFill="background1"/>
        </w:rPr>
        <w:t xml:space="preserve"> %. Pokles</w:t>
      </w:r>
      <w:r w:rsidRPr="00876FF3">
        <w:rPr>
          <w:rFonts w:ascii="Arial" w:hAnsi="Arial" w:cs="Arial"/>
        </w:rPr>
        <w:t xml:space="preserve"> podielu zaznamenal aj domáci dopyt o 1,9 p. b. na 101,1 %. Úhrnná konečná spotreba bola nižšia o 1,8 p. b. a dosiahla 81,5 % hlavne vplyvom poklesu podielu konečnej spotreby domácností o 1,6 p. b. na 55,9 %. Klesol aj podiel konečnej spotreby verejnej správy o 0,1 p. b. </w:t>
      </w:r>
      <w:r w:rsidRPr="00876FF3">
        <w:rPr>
          <w:rFonts w:ascii="Arial" w:hAnsi="Arial" w:cs="Arial"/>
        </w:rPr>
        <w:lastRenderedPageBreak/>
        <w:t>na 24,7 %. Vzrástol iba podiel tvorby hrubého fixného kapitálu na HDP, a to medziročne o 0,5 p. b. na 24,4 % v rámci nevýrazného rastu podielu tvorby hrubého kapitálu na HDP o 0,1 p. b. na 19,7 %.</w:t>
      </w:r>
      <w:r w:rsidR="00C01784" w:rsidRPr="00C01784">
        <w:rPr>
          <w:rFonts w:ascii="Arial" w:hAnsi="Arial" w:cs="Arial"/>
        </w:rPr>
        <w:t xml:space="preserve"> </w:t>
      </w:r>
    </w:p>
    <w:p w14:paraId="65D88543" w14:textId="77777777" w:rsidR="00876FF3" w:rsidRPr="00876FF3" w:rsidRDefault="00876FF3" w:rsidP="00876FF3">
      <w:pPr>
        <w:spacing w:after="100"/>
        <w:ind w:firstLine="284"/>
        <w:rPr>
          <w:rFonts w:ascii="Arial" w:hAnsi="Arial" w:cs="Arial"/>
          <w:szCs w:val="22"/>
        </w:rPr>
      </w:pPr>
      <w:r w:rsidRPr="003B0DC4">
        <w:rPr>
          <w:rFonts w:ascii="Arial" w:hAnsi="Arial" w:cs="Arial"/>
          <w:b/>
          <w:szCs w:val="22"/>
        </w:rPr>
        <w:t xml:space="preserve">V súhrne za rok 2025 </w:t>
      </w:r>
      <w:r w:rsidRPr="003B0DC4">
        <w:rPr>
          <w:rFonts w:ascii="Arial" w:hAnsi="Arial" w:cs="Arial"/>
          <w:szCs w:val="22"/>
        </w:rPr>
        <w:t>mal vplyv na celkový výsledok rastu HDP hlavne domáci dopyt, ktorý dosiahol rast o</w:t>
      </w:r>
      <w:r>
        <w:rPr>
          <w:rFonts w:ascii="Arial" w:hAnsi="Arial" w:cs="Arial"/>
          <w:szCs w:val="22"/>
        </w:rPr>
        <w:t> 0,6</w:t>
      </w:r>
      <w:r w:rsidRPr="003B0DC4">
        <w:rPr>
          <w:rFonts w:ascii="Arial" w:hAnsi="Arial" w:cs="Arial"/>
          <w:szCs w:val="22"/>
        </w:rPr>
        <w:t xml:space="preserve"> %. Bolo to však výrazné medziročné spomalenie, keďže rast za rok 2024 bol ešte na úrovni </w:t>
      </w:r>
      <w:r>
        <w:rPr>
          <w:rFonts w:ascii="Arial" w:hAnsi="Arial" w:cs="Arial"/>
          <w:szCs w:val="22"/>
        </w:rPr>
        <w:t>4,3</w:t>
      </w:r>
      <w:r w:rsidRPr="003B0DC4">
        <w:rPr>
          <w:rFonts w:ascii="Arial" w:hAnsi="Arial" w:cs="Arial"/>
          <w:szCs w:val="22"/>
        </w:rPr>
        <w:t> %. Vývoj inflácie aj prijatie</w:t>
      </w:r>
      <w:r>
        <w:rPr>
          <w:rFonts w:ascii="Arial" w:hAnsi="Arial" w:cs="Arial"/>
          <w:szCs w:val="22"/>
        </w:rPr>
        <w:t xml:space="preserve"> rôznych konsolidačných opatrení </w:t>
      </w:r>
      <w:r w:rsidRPr="006C6252">
        <w:rPr>
          <w:rFonts w:ascii="Arial" w:hAnsi="Arial" w:cs="Arial"/>
          <w:szCs w:val="22"/>
        </w:rPr>
        <w:t xml:space="preserve">počas </w:t>
      </w:r>
      <w:r>
        <w:rPr>
          <w:rFonts w:ascii="Arial" w:hAnsi="Arial" w:cs="Arial"/>
          <w:szCs w:val="22"/>
        </w:rPr>
        <w:t xml:space="preserve">minulého </w:t>
      </w:r>
      <w:r w:rsidRPr="006C6252">
        <w:rPr>
          <w:rFonts w:ascii="Arial" w:hAnsi="Arial" w:cs="Arial"/>
          <w:szCs w:val="22"/>
        </w:rPr>
        <w:t xml:space="preserve">roka priniesol </w:t>
      </w:r>
      <w:r>
        <w:rPr>
          <w:rFonts w:ascii="Arial" w:hAnsi="Arial" w:cs="Arial"/>
          <w:szCs w:val="22"/>
        </w:rPr>
        <w:t>výrazné obmedzovanie</w:t>
      </w:r>
      <w:r w:rsidRPr="006C6252">
        <w:rPr>
          <w:rFonts w:ascii="Arial" w:hAnsi="Arial" w:cs="Arial"/>
          <w:szCs w:val="22"/>
        </w:rPr>
        <w:t xml:space="preserve"> </w:t>
      </w:r>
      <w:r>
        <w:rPr>
          <w:rFonts w:ascii="Arial" w:hAnsi="Arial" w:cs="Arial"/>
          <w:szCs w:val="22"/>
        </w:rPr>
        <w:t>výdavkov</w:t>
      </w:r>
      <w:r w:rsidRPr="006C6252">
        <w:rPr>
          <w:rFonts w:ascii="Arial" w:hAnsi="Arial" w:cs="Arial"/>
          <w:szCs w:val="22"/>
        </w:rPr>
        <w:t xml:space="preserve"> domácností aj verejného sektora. </w:t>
      </w:r>
      <w:r w:rsidRPr="00876FF3">
        <w:rPr>
          <w:rFonts w:ascii="Arial" w:hAnsi="Arial" w:cs="Arial"/>
          <w:szCs w:val="22"/>
        </w:rPr>
        <w:t xml:space="preserve">Spotreba domácností vzrástla iba o 0,4 %, kým v roku 2024 medziročne skončila v raste o 3,8 %. Rast výdavkov vo verejnej správe dosiahol 1,1 %, kým v roku 2024 bol ešte na úrovni 4 %. Spotreba neziskových inštitúciách slúžiacich domácnostiam klesla o 7,2 %, pokračovala v poklese druhý rok za sebou. </w:t>
      </w:r>
    </w:p>
    <w:p w14:paraId="3E7D59F8" w14:textId="77777777" w:rsidR="00876FF3" w:rsidRPr="00876FF3" w:rsidRDefault="00876FF3" w:rsidP="00876FF3">
      <w:pPr>
        <w:spacing w:after="100"/>
        <w:ind w:firstLine="284"/>
        <w:rPr>
          <w:rFonts w:ascii="Arial" w:hAnsi="Arial" w:cs="Arial"/>
          <w:szCs w:val="22"/>
        </w:rPr>
      </w:pPr>
      <w:r w:rsidRPr="00876FF3">
        <w:rPr>
          <w:rFonts w:ascii="Arial" w:hAnsi="Arial" w:cs="Arial"/>
          <w:szCs w:val="22"/>
        </w:rPr>
        <w:t xml:space="preserve">Pozitívny vplyv na rast HDP mala vyššia dynamika investovania, to sa prejavilo rastom tvorby hrubého fixného kapitálu o 2,2 %, čo bola vyššie tempo ako v roku 2024 na úrovni 1,6 %. Tvorba hrubého kapitálu zaznamenala nevýrazný rast, a to o 1,1 %, bolo to najmä nižším záporným dopadom zmeny stavu zásob ako pred rokom, ktoré v bežných cenách klesli o 0,6 mld. eur (v roku 2024 bol stav zásob nižší o necelé 0,4 mld. eur). </w:t>
      </w:r>
    </w:p>
    <w:p w14:paraId="72F2AAEE" w14:textId="69F16645" w:rsidR="00C01784" w:rsidRPr="00EE443B" w:rsidRDefault="00876FF3" w:rsidP="00876FF3">
      <w:pPr>
        <w:spacing w:after="100"/>
        <w:ind w:firstLine="284"/>
        <w:rPr>
          <w:rFonts w:ascii="Arial" w:hAnsi="Arial" w:cs="Arial"/>
        </w:rPr>
      </w:pPr>
      <w:r w:rsidRPr="00876FF3">
        <w:rPr>
          <w:rFonts w:ascii="Arial" w:hAnsi="Arial" w:cs="Arial"/>
          <w:szCs w:val="22"/>
        </w:rPr>
        <w:t>Celkovému výkonu ekonomiky pomohol aj rast v zahraničnom obchode. Vývoz výrobkov a služieb (zahraničný dopyt) skončil medziročne v pluse o 4 % a dovoz výrobkov a služieb o 3,7 %. Mierne vyššia výkonnosť dovozu však</w:t>
      </w:r>
      <w:r>
        <w:rPr>
          <w:rFonts w:ascii="Arial" w:hAnsi="Arial" w:cs="Arial"/>
          <w:szCs w:val="22"/>
        </w:rPr>
        <w:t xml:space="preserve"> stiahla</w:t>
      </w:r>
      <w:r w:rsidRPr="006C6252">
        <w:rPr>
          <w:rFonts w:ascii="Arial" w:hAnsi="Arial" w:cs="Arial"/>
          <w:szCs w:val="22"/>
        </w:rPr>
        <w:t xml:space="preserve"> saldo zahraničného obchodu </w:t>
      </w:r>
      <w:r>
        <w:rPr>
          <w:rFonts w:ascii="Arial" w:hAnsi="Arial" w:cs="Arial"/>
          <w:szCs w:val="22"/>
        </w:rPr>
        <w:t>do</w:t>
      </w:r>
      <w:r w:rsidRPr="006C6252">
        <w:rPr>
          <w:rFonts w:ascii="Arial" w:hAnsi="Arial" w:cs="Arial"/>
          <w:szCs w:val="22"/>
        </w:rPr>
        <w:t xml:space="preserve"> mierne </w:t>
      </w:r>
      <w:r>
        <w:rPr>
          <w:rFonts w:ascii="Arial" w:hAnsi="Arial" w:cs="Arial"/>
          <w:szCs w:val="22"/>
        </w:rPr>
        <w:t>mínusových</w:t>
      </w:r>
      <w:r w:rsidRPr="006C6252">
        <w:rPr>
          <w:rFonts w:ascii="Arial" w:hAnsi="Arial" w:cs="Arial"/>
          <w:szCs w:val="22"/>
        </w:rPr>
        <w:t xml:space="preserve"> hodn</w:t>
      </w:r>
      <w:r>
        <w:rPr>
          <w:rFonts w:ascii="Arial" w:hAnsi="Arial" w:cs="Arial"/>
          <w:szCs w:val="22"/>
        </w:rPr>
        <w:t>ô</w:t>
      </w:r>
      <w:r w:rsidRPr="006C6252">
        <w:rPr>
          <w:rFonts w:ascii="Arial" w:hAnsi="Arial" w:cs="Arial"/>
          <w:szCs w:val="22"/>
        </w:rPr>
        <w:t>t. Jeho objem v bežných cenách za rok 202</w:t>
      </w:r>
      <w:r>
        <w:rPr>
          <w:rFonts w:ascii="Arial" w:hAnsi="Arial" w:cs="Arial"/>
          <w:szCs w:val="22"/>
        </w:rPr>
        <w:t>5</w:t>
      </w:r>
      <w:r w:rsidRPr="006C6252">
        <w:rPr>
          <w:rFonts w:ascii="Arial" w:hAnsi="Arial" w:cs="Arial"/>
          <w:szCs w:val="22"/>
        </w:rPr>
        <w:t xml:space="preserve"> </w:t>
      </w:r>
      <w:r w:rsidRPr="001E5A9D">
        <w:rPr>
          <w:rFonts w:ascii="Arial" w:hAnsi="Arial" w:cs="Arial"/>
          <w:szCs w:val="22"/>
        </w:rPr>
        <w:t xml:space="preserve">dosiahol </w:t>
      </w:r>
      <w:r w:rsidRPr="009C12EE">
        <w:rPr>
          <w:rFonts w:ascii="Arial" w:hAnsi="Arial" w:cs="Arial"/>
          <w:szCs w:val="22"/>
        </w:rPr>
        <w:t>necelých 209,6 mil.</w:t>
      </w:r>
      <w:r w:rsidRPr="006C6252">
        <w:rPr>
          <w:rFonts w:ascii="Arial" w:hAnsi="Arial" w:cs="Arial"/>
          <w:szCs w:val="22"/>
        </w:rPr>
        <w:t xml:space="preserve"> eur.</w:t>
      </w:r>
    </w:p>
    <w:p w14:paraId="62F283DE" w14:textId="77777777" w:rsidR="00A478E5" w:rsidRDefault="00A478E5" w:rsidP="009F4B5C">
      <w:pPr>
        <w:tabs>
          <w:tab w:val="left" w:pos="426"/>
        </w:tabs>
        <w:rPr>
          <w:rFonts w:ascii="Arial" w:hAnsi="Arial"/>
          <w:szCs w:val="22"/>
          <w:u w:val="single"/>
        </w:rPr>
      </w:pPr>
    </w:p>
    <w:p w14:paraId="3B9EC673" w14:textId="136348F4" w:rsidR="00367C56" w:rsidRPr="002061D2" w:rsidRDefault="00367C56" w:rsidP="009F4B5C">
      <w:pPr>
        <w:tabs>
          <w:tab w:val="left" w:pos="426"/>
        </w:tabs>
        <w:rPr>
          <w:rStyle w:val="Odkaznapoznmkupodiarou"/>
        </w:rPr>
      </w:pPr>
      <w:r w:rsidRPr="002061D2">
        <w:rPr>
          <w:rFonts w:ascii="Arial" w:hAnsi="Arial"/>
          <w:szCs w:val="22"/>
          <w:u w:val="single"/>
        </w:rPr>
        <w:t>Konečná spotreba domácností</w:t>
      </w:r>
      <w:r w:rsidRPr="002061D2">
        <w:rPr>
          <w:rStyle w:val="Odkaznapoznmkupodiarou"/>
          <w:rFonts w:ascii="Arial" w:hAnsi="Arial" w:cs="Arial"/>
        </w:rPr>
        <w:footnoteReference w:id="9"/>
      </w:r>
      <w:r w:rsidRPr="002061D2">
        <w:rPr>
          <w:rStyle w:val="Odkaznapoznmkupodiarou"/>
          <w:rFonts w:ascii="Arial" w:hAnsi="Arial" w:cs="Arial"/>
        </w:rPr>
        <w:t>)</w:t>
      </w:r>
      <w:r w:rsidRPr="002061D2">
        <w:rPr>
          <w:rStyle w:val="Odkaznapoznmkupodiarou"/>
        </w:rPr>
        <w:t xml:space="preserve"> </w:t>
      </w:r>
    </w:p>
    <w:p w14:paraId="552FEAAA" w14:textId="0CBFC9F9" w:rsidR="00367C56" w:rsidRPr="00E31A2A" w:rsidRDefault="00CB648F" w:rsidP="009F4B5C">
      <w:pPr>
        <w:tabs>
          <w:tab w:val="left" w:pos="426"/>
        </w:tabs>
        <w:rPr>
          <w:rFonts w:ascii="Arial" w:hAnsi="Arial"/>
          <w:sz w:val="12"/>
        </w:rPr>
      </w:pPr>
      <w:r w:rsidRPr="00E31A2A">
        <w:rPr>
          <w:rFonts w:ascii="Arial" w:hAnsi="Arial"/>
          <w:sz w:val="20"/>
        </w:rPr>
        <w:t>(tab.</w:t>
      </w:r>
      <w:r w:rsidR="00367C56" w:rsidRPr="00E31A2A">
        <w:rPr>
          <w:rFonts w:ascii="Arial" w:hAnsi="Arial"/>
          <w:sz w:val="20"/>
        </w:rPr>
        <w:t xml:space="preserve"> </w:t>
      </w:r>
      <w:r w:rsidRPr="00E31A2A">
        <w:rPr>
          <w:rFonts w:ascii="Arial" w:hAnsi="Arial"/>
          <w:sz w:val="20"/>
        </w:rPr>
        <w:t>T</w:t>
      </w:r>
      <w:r w:rsidR="00273C1C" w:rsidRPr="00E31A2A">
        <w:rPr>
          <w:rFonts w:ascii="Arial" w:hAnsi="Arial"/>
          <w:sz w:val="20"/>
        </w:rPr>
        <w:t>3</w:t>
      </w:r>
      <w:r w:rsidR="00367C56" w:rsidRPr="00E31A2A">
        <w:rPr>
          <w:rFonts w:ascii="Arial" w:hAnsi="Arial"/>
          <w:sz w:val="20"/>
        </w:rPr>
        <w:t xml:space="preserve">, </w:t>
      </w:r>
      <w:r w:rsidRPr="00E31A2A">
        <w:rPr>
          <w:rFonts w:ascii="Arial" w:hAnsi="Arial"/>
          <w:sz w:val="20"/>
        </w:rPr>
        <w:t>T</w:t>
      </w:r>
      <w:r w:rsidR="00367C56" w:rsidRPr="00E31A2A">
        <w:rPr>
          <w:rFonts w:ascii="Arial" w:hAnsi="Arial"/>
          <w:sz w:val="20"/>
        </w:rPr>
        <w:t xml:space="preserve">4, </w:t>
      </w:r>
      <w:r w:rsidRPr="00E31A2A">
        <w:rPr>
          <w:rFonts w:ascii="Arial" w:hAnsi="Arial"/>
          <w:sz w:val="20"/>
        </w:rPr>
        <w:t>T</w:t>
      </w:r>
      <w:r w:rsidR="00367C56" w:rsidRPr="00E31A2A">
        <w:rPr>
          <w:rFonts w:ascii="Arial" w:hAnsi="Arial"/>
          <w:sz w:val="20"/>
        </w:rPr>
        <w:t>1</w:t>
      </w:r>
      <w:r w:rsidR="00561C08">
        <w:rPr>
          <w:rFonts w:ascii="Arial" w:hAnsi="Arial"/>
          <w:sz w:val="20"/>
        </w:rPr>
        <w:t>4</w:t>
      </w:r>
      <w:r w:rsidR="00367C56" w:rsidRPr="00E31A2A">
        <w:rPr>
          <w:rFonts w:ascii="Arial" w:hAnsi="Arial"/>
          <w:sz w:val="20"/>
        </w:rPr>
        <w:t>)</w:t>
      </w:r>
      <w:r w:rsidR="00367C56" w:rsidRPr="00E31A2A">
        <w:rPr>
          <w:rFonts w:ascii="Arial" w:hAnsi="Arial"/>
          <w:b/>
          <w:caps/>
          <w:sz w:val="12"/>
        </w:rPr>
        <w:tab/>
      </w:r>
    </w:p>
    <w:p w14:paraId="2A4A6123" w14:textId="77777777" w:rsidR="00367C56" w:rsidRPr="00E31A2A" w:rsidRDefault="00367C56" w:rsidP="009F4B5C">
      <w:pPr>
        <w:tabs>
          <w:tab w:val="left" w:pos="426"/>
        </w:tabs>
        <w:rPr>
          <w:rFonts w:ascii="Arial" w:hAnsi="Arial"/>
          <w:sz w:val="14"/>
          <w:szCs w:val="14"/>
        </w:rPr>
      </w:pPr>
    </w:p>
    <w:p w14:paraId="6033344D" w14:textId="77777777" w:rsidR="00561C08" w:rsidRPr="00561C08" w:rsidRDefault="00561C08" w:rsidP="00561C08">
      <w:pPr>
        <w:spacing w:after="100"/>
        <w:ind w:firstLine="284"/>
        <w:rPr>
          <w:rFonts w:ascii="Arial" w:hAnsi="Arial" w:cs="Arial"/>
        </w:rPr>
      </w:pPr>
      <w:r w:rsidRPr="00DB6BA2">
        <w:rPr>
          <w:rFonts w:ascii="Arial" w:hAnsi="Arial" w:cs="Arial"/>
          <w:b/>
          <w:bCs/>
        </w:rPr>
        <w:t>Konečná spotreba domácností</w:t>
      </w:r>
      <w:r w:rsidRPr="00DB6BA2">
        <w:rPr>
          <w:rFonts w:ascii="Arial" w:hAnsi="Arial" w:cs="Arial"/>
        </w:rPr>
        <w:t xml:space="preserve"> v bežných cenách rástla vo 4. štvrťroku 2025, a to o 2,8 %. Disponibilné </w:t>
      </w:r>
      <w:r w:rsidRPr="00561C08">
        <w:rPr>
          <w:rFonts w:ascii="Arial" w:hAnsi="Arial" w:cs="Arial"/>
        </w:rPr>
        <w:t>zdroje domácností sa zvýšili o 3 %, rast si udržali aj odmeny zamestnancov o 6,2 % (pri rovnakom raste hrubých miezd a platov).</w:t>
      </w:r>
    </w:p>
    <w:p w14:paraId="276A45F1" w14:textId="5D99BE85" w:rsidR="00561C08" w:rsidRPr="00561C08" w:rsidRDefault="00561C08" w:rsidP="00561C08">
      <w:pPr>
        <w:spacing w:after="100"/>
        <w:ind w:firstLine="284"/>
        <w:rPr>
          <w:rFonts w:ascii="Arial" w:hAnsi="Arial" w:cs="Arial"/>
        </w:rPr>
      </w:pPr>
      <w:r w:rsidRPr="00561C08">
        <w:rPr>
          <w:rFonts w:ascii="Arial" w:hAnsi="Arial" w:cs="Arial"/>
        </w:rPr>
        <w:t>Objem celkových spotrebných výdavkov dosiahol hodnotu 20 mld. eur. Najviac prostriedkov minuli domácnosti na bývanie 26,1 % a nákupy potravinárskeho tovaru 18,2 %. Najvýraznejšie rástli výdavky na vzdelanie o 9,1 %, a</w:t>
      </w:r>
      <w:r w:rsidR="007B4E9F">
        <w:rPr>
          <w:rFonts w:ascii="Arial" w:hAnsi="Arial" w:cs="Arial"/>
        </w:rPr>
        <w:t xml:space="preserve"> tiež </w:t>
      </w:r>
      <w:r w:rsidRPr="00561C08">
        <w:rPr>
          <w:rFonts w:ascii="Arial" w:hAnsi="Arial" w:cs="Arial"/>
        </w:rPr>
        <w:t>na osobnú starostlivosť, sociálnu ochranu a rozličné výrobky a služby o 6,2 %. Pokles o 1,9</w:t>
      </w:r>
      <w:r w:rsidR="007B4E9F">
        <w:rPr>
          <w:rFonts w:ascii="Arial" w:hAnsi="Arial" w:cs="Arial"/>
        </w:rPr>
        <w:t> </w:t>
      </w:r>
      <w:r w:rsidRPr="00561C08">
        <w:rPr>
          <w:rFonts w:ascii="Arial" w:hAnsi="Arial" w:cs="Arial"/>
        </w:rPr>
        <w:t>% zaznamenali výdavky na potraviny a nealkoholické nápoje.</w:t>
      </w:r>
    </w:p>
    <w:p w14:paraId="1BE66A2B" w14:textId="5AEC7290" w:rsidR="00CF58B7" w:rsidRPr="00CE4372" w:rsidRDefault="00561C08" w:rsidP="00561C08">
      <w:pPr>
        <w:widowControl/>
        <w:tabs>
          <w:tab w:val="left" w:pos="426"/>
        </w:tabs>
        <w:overflowPunct/>
        <w:autoSpaceDE/>
        <w:autoSpaceDN/>
        <w:adjustRightInd/>
        <w:ind w:firstLine="284"/>
        <w:textAlignment w:val="auto"/>
        <w:rPr>
          <w:rFonts w:ascii="Arial" w:hAnsi="Arial" w:cs="Arial"/>
          <w:color w:val="FF0000"/>
        </w:rPr>
      </w:pPr>
      <w:r w:rsidRPr="00561C08">
        <w:rPr>
          <w:rFonts w:ascii="Arial" w:hAnsi="Arial" w:cs="Arial"/>
          <w:b/>
          <w:bCs/>
        </w:rPr>
        <w:t>V súhrne za rok 2025</w:t>
      </w:r>
      <w:r w:rsidRPr="00561C08">
        <w:rPr>
          <w:rFonts w:ascii="Arial" w:hAnsi="Arial" w:cs="Arial"/>
        </w:rPr>
        <w:t xml:space="preserve"> v medziročnom porovnaní vzrástla konečná spotreba domácností o 4,5 %. Disponibilné zdroje domácností</w:t>
      </w:r>
      <w:r w:rsidRPr="00DB6BA2">
        <w:rPr>
          <w:rFonts w:ascii="Arial" w:hAnsi="Arial" w:cs="Arial"/>
        </w:rPr>
        <w:t xml:space="preserve"> sa zvýšili o 3 % a rast si udržali aj odmeny zamestnancov o 6,3</w:t>
      </w:r>
      <w:r w:rsidR="007B4E9F">
        <w:rPr>
          <w:rFonts w:ascii="Arial" w:hAnsi="Arial" w:cs="Arial"/>
        </w:rPr>
        <w:t> </w:t>
      </w:r>
      <w:r w:rsidRPr="00DB6BA2">
        <w:rPr>
          <w:rFonts w:ascii="Arial" w:hAnsi="Arial" w:cs="Arial"/>
        </w:rPr>
        <w:t>% (pri raste hrubých miezd a platov o 5,8 %).</w:t>
      </w:r>
    </w:p>
    <w:p w14:paraId="7183AED0" w14:textId="3AC3A058" w:rsidR="00367C56" w:rsidRDefault="00367C56" w:rsidP="009F4B5C">
      <w:pPr>
        <w:tabs>
          <w:tab w:val="left" w:pos="426"/>
        </w:tabs>
        <w:spacing w:after="100"/>
        <w:ind w:firstLine="284"/>
        <w:rPr>
          <w:rFonts w:ascii="Arial" w:hAnsi="Arial" w:cs="Arial"/>
        </w:rPr>
      </w:pPr>
    </w:p>
    <w:p w14:paraId="63D6656F" w14:textId="340033E3" w:rsidR="00367C56" w:rsidRPr="009D750F" w:rsidRDefault="00367C56" w:rsidP="009F4B5C">
      <w:pPr>
        <w:pStyle w:val="Nadpis9"/>
        <w:tabs>
          <w:tab w:val="left" w:pos="426"/>
        </w:tabs>
        <w:rPr>
          <w:rFonts w:ascii="Arial" w:hAnsi="Arial"/>
        </w:rPr>
      </w:pPr>
      <w:r w:rsidRPr="009D750F">
        <w:rPr>
          <w:rFonts w:ascii="Arial" w:hAnsi="Arial"/>
          <w:sz w:val="22"/>
          <w:szCs w:val="22"/>
        </w:rPr>
        <w:t>Konečná spotreba verejnej správy</w:t>
      </w:r>
      <w:r w:rsidRPr="009D750F">
        <w:rPr>
          <w:rStyle w:val="Odkaznapoznmkupodiarou"/>
          <w:rFonts w:ascii="Arial" w:hAnsi="Arial" w:cs="Arial"/>
          <w:u w:val="none"/>
        </w:rPr>
        <w:footnoteReference w:id="10"/>
      </w:r>
      <w:r w:rsidRPr="009D750F">
        <w:rPr>
          <w:rStyle w:val="Odkaznapoznmkupodiarou"/>
          <w:rFonts w:ascii="Arial" w:hAnsi="Arial" w:cs="Arial"/>
          <w:u w:val="none"/>
        </w:rPr>
        <w:t>)</w:t>
      </w:r>
    </w:p>
    <w:p w14:paraId="32FE478A" w14:textId="15774FA3" w:rsidR="00367C56" w:rsidRPr="009D750F" w:rsidRDefault="00367C56" w:rsidP="009F4B5C">
      <w:pPr>
        <w:tabs>
          <w:tab w:val="left" w:pos="426"/>
        </w:tabs>
        <w:rPr>
          <w:rFonts w:ascii="Arial" w:hAnsi="Arial"/>
          <w:sz w:val="20"/>
          <w:u w:val="single"/>
        </w:rPr>
      </w:pPr>
      <w:r w:rsidRPr="009D750F">
        <w:rPr>
          <w:rFonts w:ascii="Arial" w:hAnsi="Arial"/>
          <w:sz w:val="20"/>
        </w:rPr>
        <w:t xml:space="preserve">(tab. </w:t>
      </w:r>
      <w:r w:rsidR="00CB648F">
        <w:rPr>
          <w:rFonts w:ascii="Arial" w:hAnsi="Arial"/>
          <w:sz w:val="20"/>
        </w:rPr>
        <w:t>T</w:t>
      </w:r>
      <w:r w:rsidR="00273C1C">
        <w:rPr>
          <w:rFonts w:ascii="Arial" w:hAnsi="Arial"/>
          <w:sz w:val="20"/>
        </w:rPr>
        <w:t>3</w:t>
      </w:r>
      <w:r w:rsidRPr="009D750F">
        <w:rPr>
          <w:rFonts w:ascii="Arial" w:hAnsi="Arial"/>
          <w:sz w:val="20"/>
        </w:rPr>
        <w:t xml:space="preserve">, </w:t>
      </w:r>
      <w:r w:rsidR="00CB648F">
        <w:rPr>
          <w:rFonts w:ascii="Arial" w:hAnsi="Arial"/>
          <w:sz w:val="20"/>
        </w:rPr>
        <w:t>T</w:t>
      </w:r>
      <w:r w:rsidR="00273C1C">
        <w:rPr>
          <w:rFonts w:ascii="Arial" w:hAnsi="Arial"/>
          <w:sz w:val="20"/>
        </w:rPr>
        <w:t>4</w:t>
      </w:r>
      <w:r w:rsidRPr="009D750F">
        <w:rPr>
          <w:rFonts w:ascii="Arial" w:hAnsi="Arial"/>
          <w:sz w:val="20"/>
        </w:rPr>
        <w:t>)</w:t>
      </w:r>
    </w:p>
    <w:p w14:paraId="600B4868" w14:textId="77777777" w:rsidR="00367C56" w:rsidRPr="009D750F" w:rsidRDefault="00367C56" w:rsidP="009F4B5C">
      <w:pPr>
        <w:tabs>
          <w:tab w:val="left" w:pos="426"/>
        </w:tabs>
        <w:rPr>
          <w:rFonts w:ascii="Arial" w:hAnsi="Arial" w:cs="Arial"/>
          <w:sz w:val="14"/>
          <w:szCs w:val="14"/>
        </w:rPr>
      </w:pPr>
    </w:p>
    <w:p w14:paraId="198A2DDC" w14:textId="464828C1" w:rsidR="00FC5BFB" w:rsidRPr="008D2396" w:rsidRDefault="00FC5BFB" w:rsidP="00FC5BFB">
      <w:pPr>
        <w:spacing w:after="120"/>
        <w:ind w:firstLine="284"/>
        <w:rPr>
          <w:rFonts w:ascii="Arial" w:hAnsi="Arial" w:cs="Arial"/>
        </w:rPr>
      </w:pPr>
      <w:r w:rsidRPr="008D2396">
        <w:rPr>
          <w:rFonts w:ascii="Arial" w:hAnsi="Arial" w:cs="Arial"/>
          <w:b/>
          <w:bCs/>
        </w:rPr>
        <w:t>Vo verejnej správe</w:t>
      </w:r>
      <w:r w:rsidRPr="008D2396">
        <w:rPr>
          <w:rFonts w:ascii="Arial" w:hAnsi="Arial" w:cs="Arial"/>
        </w:rPr>
        <w:t xml:space="preserve"> sa vo 4. štvrťroku 2025 použili na ko</w:t>
      </w:r>
      <w:r w:rsidRPr="008D2396">
        <w:rPr>
          <w:rFonts w:ascii="Arial" w:hAnsi="Arial" w:cs="Arial"/>
        </w:rPr>
        <w:softHyphen/>
        <w:t>neč</w:t>
      </w:r>
      <w:r w:rsidRPr="008D2396">
        <w:rPr>
          <w:rFonts w:ascii="Arial" w:hAnsi="Arial" w:cs="Arial"/>
        </w:rPr>
        <w:softHyphen/>
        <w:t xml:space="preserve">nú spotrebu finančné </w:t>
      </w:r>
      <w:r w:rsidRPr="00FC5BFB">
        <w:rPr>
          <w:rFonts w:ascii="Arial" w:hAnsi="Arial" w:cs="Arial"/>
        </w:rPr>
        <w:t>prostriedky v objeme 8,8</w:t>
      </w:r>
      <w:r w:rsidR="002D5485">
        <w:rPr>
          <w:rFonts w:ascii="Arial" w:hAnsi="Arial" w:cs="Arial"/>
        </w:rPr>
        <w:t> </w:t>
      </w:r>
      <w:r w:rsidRPr="00FC5BFB">
        <w:rPr>
          <w:rFonts w:ascii="Arial" w:hAnsi="Arial" w:cs="Arial"/>
        </w:rPr>
        <w:t>mld. eur. Medziročný rast dosiahol v bežných cenách 5,4 %. V porovnaní so 4. štvrťrokom 2024 vzrástli najmä výdavky na odmeny zamestnancov (tvoria ich mzdy, platy a sociálne príspevky zamestnávateľov) o 6,5 % a naturálne sociálne transfery o 8,2 %. Medzispotreba (tvoria ju spotreba materiálu, energie a služieb) zaznamenala pri medziročnom porovnaní zvýšenie o 4,1 %.</w:t>
      </w:r>
    </w:p>
    <w:p w14:paraId="650E0020" w14:textId="77777777" w:rsidR="00FC5BFB" w:rsidRPr="008D2396" w:rsidRDefault="00FC5BFB" w:rsidP="00FC5BFB">
      <w:pPr>
        <w:tabs>
          <w:tab w:val="left" w:pos="426"/>
        </w:tabs>
        <w:spacing w:after="120"/>
        <w:ind w:firstLine="284"/>
        <w:rPr>
          <w:rFonts w:ascii="Arial" w:hAnsi="Arial" w:cs="Arial"/>
        </w:rPr>
      </w:pPr>
      <w:r w:rsidRPr="008D2396">
        <w:rPr>
          <w:rFonts w:ascii="Arial" w:hAnsi="Arial" w:cs="Arial"/>
        </w:rPr>
        <w:t>Odmeny zamestnancov tvorili v celkovej štruktúre konečnej spotreby verejnej správy najvyšší podiel 54 %, výdavky na medzispotrebu 29,7 % a naturálne sociálne transfery 16,6 %. Na in</w:t>
      </w:r>
      <w:r w:rsidRPr="008D2396">
        <w:rPr>
          <w:rFonts w:ascii="Arial" w:hAnsi="Arial" w:cs="Arial"/>
        </w:rPr>
        <w:softHyphen/>
        <w:t>dividuál</w:t>
      </w:r>
      <w:r w:rsidRPr="008D2396">
        <w:rPr>
          <w:rFonts w:ascii="Arial" w:hAnsi="Arial" w:cs="Arial"/>
        </w:rPr>
        <w:softHyphen/>
        <w:t xml:space="preserve">nu spotrebu sa použilo 48,4 % celkových výdavkov, zvyšok bol použitý </w:t>
      </w:r>
      <w:r w:rsidRPr="008D2396">
        <w:rPr>
          <w:rFonts w:ascii="Arial" w:hAnsi="Arial" w:cs="Arial"/>
        </w:rPr>
        <w:lastRenderedPageBreak/>
        <w:t>na kolektívnu spotrebu.</w:t>
      </w:r>
    </w:p>
    <w:p w14:paraId="24FE9BF5" w14:textId="09B3A06B" w:rsidR="00314BA8" w:rsidRPr="00437A14" w:rsidRDefault="00FC5BFB" w:rsidP="00FC5BFB">
      <w:pPr>
        <w:tabs>
          <w:tab w:val="left" w:pos="426"/>
        </w:tabs>
        <w:ind w:firstLine="284"/>
        <w:rPr>
          <w:rFonts w:ascii="Arial" w:hAnsi="Arial" w:cs="Arial"/>
        </w:rPr>
      </w:pPr>
      <w:r w:rsidRPr="008D2396">
        <w:rPr>
          <w:rFonts w:ascii="Arial" w:hAnsi="Arial" w:cs="Arial"/>
          <w:b/>
          <w:bCs/>
        </w:rPr>
        <w:t>V súhrne za celý rok 2025</w:t>
      </w:r>
      <w:r w:rsidRPr="008D2396">
        <w:rPr>
          <w:rFonts w:ascii="Arial" w:hAnsi="Arial" w:cs="Arial"/>
        </w:rPr>
        <w:t xml:space="preserve"> dosiahla ko</w:t>
      </w:r>
      <w:r w:rsidRPr="008D2396">
        <w:rPr>
          <w:rFonts w:ascii="Arial" w:hAnsi="Arial" w:cs="Arial"/>
        </w:rPr>
        <w:softHyphen/>
        <w:t>neč</w:t>
      </w:r>
      <w:r w:rsidRPr="008D2396">
        <w:rPr>
          <w:rFonts w:ascii="Arial" w:hAnsi="Arial" w:cs="Arial"/>
        </w:rPr>
        <w:softHyphen/>
        <w:t xml:space="preserve">ná spotreba verejnej správy objem </w:t>
      </w:r>
      <w:r w:rsidRPr="00FC5BFB">
        <w:rPr>
          <w:rFonts w:ascii="Arial" w:hAnsi="Arial" w:cs="Arial"/>
        </w:rPr>
        <w:t>takmer</w:t>
      </w:r>
      <w:r>
        <w:rPr>
          <w:rFonts w:ascii="Arial" w:hAnsi="Arial" w:cs="Arial"/>
        </w:rPr>
        <w:t xml:space="preserve"> </w:t>
      </w:r>
      <w:r w:rsidRPr="008D2396">
        <w:rPr>
          <w:rFonts w:ascii="Arial" w:hAnsi="Arial" w:cs="Arial"/>
        </w:rPr>
        <w:t>29,3</w:t>
      </w:r>
      <w:r w:rsidR="007B4E9F">
        <w:rPr>
          <w:rFonts w:ascii="Arial" w:hAnsi="Arial" w:cs="Arial"/>
        </w:rPr>
        <w:t> </w:t>
      </w:r>
      <w:r w:rsidRPr="008D2396">
        <w:rPr>
          <w:rFonts w:ascii="Arial" w:hAnsi="Arial" w:cs="Arial"/>
        </w:rPr>
        <w:t>mld. eur, čo predstavovalo medziročný rast v bežných cenách o 6,5</w:t>
      </w:r>
      <w:r w:rsidR="007B4E9F">
        <w:rPr>
          <w:rFonts w:ascii="Arial" w:hAnsi="Arial" w:cs="Arial"/>
        </w:rPr>
        <w:t> </w:t>
      </w:r>
      <w:r w:rsidRPr="008D2396">
        <w:rPr>
          <w:rFonts w:ascii="Arial" w:hAnsi="Arial" w:cs="Arial"/>
        </w:rPr>
        <w:t>%.</w:t>
      </w:r>
    </w:p>
    <w:p w14:paraId="7A35BCB3" w14:textId="115D25B8" w:rsidR="00AE2217" w:rsidRPr="00CE4372" w:rsidRDefault="00AE2217" w:rsidP="00AE2217">
      <w:pPr>
        <w:tabs>
          <w:tab w:val="left" w:pos="426"/>
        </w:tabs>
        <w:ind w:firstLine="284"/>
        <w:rPr>
          <w:rFonts w:ascii="Arial" w:hAnsi="Arial" w:cs="Arial"/>
          <w:color w:val="FF0000"/>
        </w:rPr>
      </w:pPr>
    </w:p>
    <w:p w14:paraId="56131590" w14:textId="77777777" w:rsidR="00BA2FC4" w:rsidRPr="00E31A2A" w:rsidRDefault="00BA2FC4" w:rsidP="00BA2FC4">
      <w:pPr>
        <w:pStyle w:val="Hlavika"/>
        <w:tabs>
          <w:tab w:val="clear" w:pos="4536"/>
          <w:tab w:val="clear" w:pos="9072"/>
          <w:tab w:val="left" w:pos="426"/>
        </w:tabs>
      </w:pPr>
      <w:r w:rsidRPr="00E31A2A">
        <w:rPr>
          <w:rFonts w:ascii="Arial" w:hAnsi="Arial"/>
          <w:szCs w:val="22"/>
          <w:u w:val="single"/>
        </w:rPr>
        <w:t>Tvorba hrubého kapitálu</w:t>
      </w:r>
      <w:r w:rsidRPr="00E31A2A">
        <w:rPr>
          <w:rStyle w:val="Odkaznapoznmkupodiarou"/>
          <w:rFonts w:ascii="Arial" w:hAnsi="Arial"/>
        </w:rPr>
        <w:footnoteReference w:id="11"/>
      </w:r>
      <w:r w:rsidRPr="00E31A2A">
        <w:rPr>
          <w:rStyle w:val="Odkaznapoznmkupodiarou"/>
          <w:rFonts w:ascii="Arial" w:hAnsi="Arial"/>
        </w:rPr>
        <w:t>)</w:t>
      </w:r>
    </w:p>
    <w:p w14:paraId="352F1EE3" w14:textId="04D37FA1" w:rsidR="00BA2FC4" w:rsidRPr="00E31A2A" w:rsidRDefault="00BA2FC4" w:rsidP="00BA2FC4">
      <w:pPr>
        <w:pStyle w:val="BodyText212"/>
        <w:tabs>
          <w:tab w:val="left" w:pos="426"/>
        </w:tabs>
      </w:pPr>
      <w:r w:rsidRPr="00E31A2A">
        <w:t>(tab. T2, T3, T4, T</w:t>
      </w:r>
      <w:r w:rsidR="00FC5BFB">
        <w:t>8</w:t>
      </w:r>
      <w:r w:rsidRPr="00E31A2A">
        <w:t xml:space="preserve"> až T</w:t>
      </w:r>
      <w:r w:rsidR="00FC5BFB">
        <w:t>10</w:t>
      </w:r>
      <w:r w:rsidRPr="00E31A2A">
        <w:t>)</w:t>
      </w:r>
    </w:p>
    <w:p w14:paraId="6BC0C1AE" w14:textId="77777777" w:rsidR="00BA2FC4" w:rsidRPr="00E31A2A" w:rsidRDefault="00BA2FC4" w:rsidP="00BA2FC4">
      <w:pPr>
        <w:pStyle w:val="BodyText212"/>
        <w:tabs>
          <w:tab w:val="left" w:pos="426"/>
        </w:tabs>
        <w:rPr>
          <w:sz w:val="14"/>
          <w:szCs w:val="14"/>
        </w:rPr>
      </w:pPr>
    </w:p>
    <w:p w14:paraId="45789490" w14:textId="77777777" w:rsidR="00896252" w:rsidRPr="00397E4E" w:rsidRDefault="00896252" w:rsidP="00896252">
      <w:pPr>
        <w:spacing w:after="100"/>
        <w:ind w:firstLine="284"/>
        <w:rPr>
          <w:rFonts w:ascii="Arial" w:hAnsi="Arial" w:cs="Arial"/>
        </w:rPr>
      </w:pPr>
      <w:r w:rsidRPr="00397E4E">
        <w:rPr>
          <w:rFonts w:ascii="Arial" w:hAnsi="Arial" w:cs="Arial"/>
        </w:rPr>
        <w:t xml:space="preserve">Investičné aktivity si udržali rast aj vo 4. štvrťroku 2025, </w:t>
      </w:r>
      <w:r w:rsidRPr="00397E4E">
        <w:rPr>
          <w:rFonts w:ascii="Arial" w:hAnsi="Arial" w:cs="Arial"/>
          <w:b/>
        </w:rPr>
        <w:t>tvorba hrubého fixného kapitálu</w:t>
      </w:r>
      <w:r w:rsidRPr="00397E4E">
        <w:rPr>
          <w:rFonts w:ascii="Arial" w:hAnsi="Arial" w:cs="Arial"/>
          <w:bCs/>
        </w:rPr>
        <w:t xml:space="preserve"> v poslednom štvrťroku </w:t>
      </w:r>
      <w:r w:rsidRPr="00397E4E">
        <w:rPr>
          <w:rFonts w:ascii="Arial" w:hAnsi="Arial" w:cs="Arial"/>
        </w:rPr>
        <w:t>dosiahol medziročný rast v stálych cenách 6,1 %. Tempo rastu bolo najdynamickejšie počas roka 2025.</w:t>
      </w:r>
    </w:p>
    <w:p w14:paraId="15EA1C44" w14:textId="3DE83706" w:rsidR="002061D2" w:rsidRPr="00A32CB3" w:rsidRDefault="00896252" w:rsidP="00896252">
      <w:pPr>
        <w:spacing w:after="100"/>
        <w:ind w:firstLine="284"/>
        <w:rPr>
          <w:rFonts w:ascii="Arial" w:hAnsi="Arial" w:cs="Arial"/>
        </w:rPr>
      </w:pPr>
      <w:r w:rsidRPr="00397E4E">
        <w:rPr>
          <w:rFonts w:ascii="Arial" w:hAnsi="Arial" w:cs="Arial"/>
        </w:rPr>
        <w:t xml:space="preserve">Celková </w:t>
      </w:r>
      <w:r w:rsidRPr="00397E4E">
        <w:rPr>
          <w:rFonts w:ascii="Arial" w:hAnsi="Arial" w:cs="Arial"/>
          <w:b/>
          <w:spacing w:val="-2"/>
        </w:rPr>
        <w:t>tvorba hrubého kapitálu</w:t>
      </w:r>
      <w:r w:rsidRPr="00397E4E">
        <w:rPr>
          <w:rFonts w:ascii="Arial" w:hAnsi="Arial" w:cs="Arial"/>
          <w:spacing w:val="-2"/>
        </w:rPr>
        <w:t xml:space="preserve"> </w:t>
      </w:r>
      <w:r w:rsidRPr="00397E4E">
        <w:rPr>
          <w:rFonts w:ascii="Arial" w:hAnsi="Arial" w:cs="Arial"/>
        </w:rPr>
        <w:t xml:space="preserve">vo 4. štvrťroku 2025 dosiahla </w:t>
      </w:r>
      <w:r w:rsidRPr="00397E4E">
        <w:rPr>
          <w:rFonts w:ascii="Arial" w:hAnsi="Arial" w:cs="Arial"/>
          <w:spacing w:val="-2"/>
        </w:rPr>
        <w:t xml:space="preserve">objem </w:t>
      </w:r>
      <w:r w:rsidRPr="00896252">
        <w:rPr>
          <w:rFonts w:ascii="Arial" w:hAnsi="Arial" w:cs="Arial"/>
          <w:spacing w:val="-2"/>
        </w:rPr>
        <w:t>necelých</w:t>
      </w:r>
      <w:r>
        <w:rPr>
          <w:rFonts w:ascii="Arial" w:hAnsi="Arial" w:cs="Arial"/>
          <w:spacing w:val="-2"/>
        </w:rPr>
        <w:t xml:space="preserve"> </w:t>
      </w:r>
      <w:r w:rsidRPr="00397E4E">
        <w:rPr>
          <w:rFonts w:ascii="Arial" w:hAnsi="Arial" w:cs="Arial"/>
          <w:spacing w:val="-2"/>
        </w:rPr>
        <w:t>7,1 mld. eur, z toho tvorba hrubého fixného ka</w:t>
      </w:r>
      <w:r w:rsidRPr="00397E4E">
        <w:rPr>
          <w:rFonts w:ascii="Arial" w:hAnsi="Arial" w:cs="Arial"/>
        </w:rPr>
        <w:softHyphen/>
        <w:t>pi</w:t>
      </w:r>
      <w:r w:rsidRPr="00397E4E">
        <w:rPr>
          <w:rFonts w:ascii="Arial" w:hAnsi="Arial" w:cs="Arial"/>
        </w:rPr>
        <w:softHyphen/>
        <w:t>tá</w:t>
      </w:r>
      <w:r w:rsidRPr="00397E4E">
        <w:rPr>
          <w:rFonts w:ascii="Arial" w:hAnsi="Arial" w:cs="Arial"/>
        </w:rPr>
        <w:softHyphen/>
        <w:t xml:space="preserve">lu 8,7 mld. eur. </w:t>
      </w:r>
      <w:r w:rsidRPr="00397E4E">
        <w:rPr>
          <w:rFonts w:ascii="Arial" w:hAnsi="Arial" w:cs="Arial"/>
          <w:b/>
          <w:bCs/>
        </w:rPr>
        <w:t>Zmena stavu zásob</w:t>
      </w:r>
      <w:r w:rsidRPr="00397E4E">
        <w:rPr>
          <w:rFonts w:ascii="Arial" w:hAnsi="Arial" w:cs="Arial"/>
        </w:rPr>
        <w:t xml:space="preserve"> výrazne klesla, o takmer 1,7 </w:t>
      </w:r>
      <w:r w:rsidRPr="00397E4E">
        <w:rPr>
          <w:rFonts w:ascii="Arial" w:hAnsi="Arial" w:cs="Arial"/>
          <w:spacing w:val="-2"/>
        </w:rPr>
        <w:t>mld.</w:t>
      </w:r>
      <w:r w:rsidRPr="00397E4E">
        <w:rPr>
          <w:rFonts w:ascii="Arial" w:hAnsi="Arial" w:cs="Arial"/>
        </w:rPr>
        <w:t> eur. Tvorba hrubého kapitálu tak v stálych cenách vzrástla medziročne o 4,1 %.</w:t>
      </w:r>
      <w:r w:rsidR="002061D2" w:rsidRPr="00A32CB3">
        <w:rPr>
          <w:rFonts w:ascii="Arial" w:hAnsi="Arial" w:cs="Arial"/>
        </w:rPr>
        <w:t xml:space="preserve"> </w:t>
      </w:r>
    </w:p>
    <w:p w14:paraId="7D479CC8" w14:textId="61BE4101" w:rsidR="00F029E2" w:rsidRDefault="00F460F4" w:rsidP="009F4B5C">
      <w:pPr>
        <w:pStyle w:val="Hlavika"/>
        <w:tabs>
          <w:tab w:val="clear" w:pos="4536"/>
          <w:tab w:val="clear" w:pos="9072"/>
          <w:tab w:val="left" w:pos="426"/>
        </w:tabs>
        <w:rPr>
          <w:rFonts w:ascii="Arial" w:hAnsi="Arial"/>
          <w:sz w:val="14"/>
          <w:szCs w:val="14"/>
          <w:u w:val="single"/>
        </w:rPr>
      </w:pPr>
      <w:r>
        <w:rPr>
          <w:noProof/>
        </w:rPr>
        <w:drawing>
          <wp:inline distT="0" distB="0" distL="0" distR="0" wp14:anchorId="5AD0AD63" wp14:editId="05C2300C">
            <wp:extent cx="5760085" cy="3336925"/>
            <wp:effectExtent l="0" t="0" r="0" b="0"/>
            <wp:docPr id="1052795402" name="Graf 1">
              <a:extLst xmlns:a="http://schemas.openxmlformats.org/drawingml/2006/main">
                <a:ext uri="{FF2B5EF4-FFF2-40B4-BE49-F238E27FC236}">
                  <a16:creationId xmlns:a16="http://schemas.microsoft.com/office/drawing/2014/main" id="{B8A813F3-C182-46AA-8669-2CE1230D6C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336937" w14:textId="43CA73B1" w:rsidR="005D3089" w:rsidRDefault="005D3089" w:rsidP="009F4B5C">
      <w:pPr>
        <w:pStyle w:val="Hlavika"/>
        <w:tabs>
          <w:tab w:val="clear" w:pos="4536"/>
          <w:tab w:val="clear" w:pos="9072"/>
          <w:tab w:val="left" w:pos="426"/>
        </w:tabs>
        <w:rPr>
          <w:rFonts w:ascii="Arial" w:hAnsi="Arial"/>
          <w:sz w:val="14"/>
          <w:szCs w:val="14"/>
          <w:u w:val="single"/>
        </w:rPr>
      </w:pPr>
    </w:p>
    <w:p w14:paraId="1A832A90" w14:textId="35049614" w:rsidR="00896252" w:rsidRDefault="00896252" w:rsidP="00A478E5">
      <w:pPr>
        <w:spacing w:after="100"/>
        <w:ind w:firstLine="284"/>
        <w:rPr>
          <w:rFonts w:ascii="Arial" w:hAnsi="Arial" w:cs="Arial"/>
        </w:rPr>
      </w:pPr>
      <w:r w:rsidRPr="00397E4E">
        <w:rPr>
          <w:rFonts w:ascii="Arial" w:hAnsi="Arial" w:cs="Arial"/>
        </w:rPr>
        <w:t>Z </w:t>
      </w:r>
      <w:r w:rsidRPr="00896252">
        <w:rPr>
          <w:rFonts w:ascii="Arial" w:hAnsi="Arial" w:cs="Arial"/>
        </w:rPr>
        <w:t>celkového počtu sledovaných 19 odvetví medziročný rast investícií v bežných cenách zaznamenalo 14 z nich, pokles investovania bol zaznamenaný v 5 odvetviach. Z celkového investovaného objemu sa najviac peňažných prostriedkov (22,6 %) na nadobudnutie tvorby hrubého fixného kapitálu investovalo v priemyselnej výrobe, investovanie sa ale znížilo o 2,5 %.</w:t>
      </w:r>
    </w:p>
    <w:p w14:paraId="1A8EB9AC" w14:textId="18DB434B" w:rsidR="00896252" w:rsidRPr="00896252" w:rsidRDefault="00896252" w:rsidP="00896252">
      <w:pPr>
        <w:spacing w:after="100"/>
        <w:ind w:firstLine="284"/>
        <w:rPr>
          <w:rFonts w:ascii="Arial" w:hAnsi="Arial" w:cs="Arial"/>
        </w:rPr>
      </w:pPr>
      <w:r w:rsidRPr="00397E4E">
        <w:rPr>
          <w:rFonts w:ascii="Arial" w:hAnsi="Arial" w:cs="Arial"/>
        </w:rPr>
        <w:t xml:space="preserve">Vo výrobe dopravných prostriedkov, ktorá predstavuje aj z hľadiska investícií podielovo najvýznamnejšie odvetvie priemyselnej výroby, vzrástla investičná aktivita o 4 %. Vyššie investície boli aj v ďalších odvetviach priemyselnej výroby, a </w:t>
      </w:r>
      <w:r w:rsidRPr="00896252">
        <w:rPr>
          <w:rFonts w:ascii="Arial" w:hAnsi="Arial" w:cs="Arial"/>
        </w:rPr>
        <w:t>to vo výrobe elektrických zariadení o 85,7 %, vo výrobe chemikálií a chemických produktov o 78,9 % a vo výrobe drevených a papierových výrobkov o 71,2</w:t>
      </w:r>
      <w:r>
        <w:rPr>
          <w:rFonts w:ascii="Arial" w:hAnsi="Arial" w:cs="Arial"/>
        </w:rPr>
        <w:t> </w:t>
      </w:r>
      <w:r w:rsidRPr="00896252">
        <w:rPr>
          <w:rFonts w:ascii="Arial" w:hAnsi="Arial" w:cs="Arial"/>
        </w:rPr>
        <w:t>%. Z 13 odvetví priemyselnej výroby tak narástli investície medziročne v 9 z nich. Najväčší pokles investícií vykázala výroba výrobkov z gumy a plastu o 40,9 %, ale tiež výroba koksu a rafinovaných ropných produktov s poklesom investícii o 39,1 % a vo výrobe textilu</w:t>
      </w:r>
      <w:r>
        <w:rPr>
          <w:rFonts w:ascii="Arial" w:hAnsi="Arial" w:cs="Arial"/>
        </w:rPr>
        <w:t xml:space="preserve"> a</w:t>
      </w:r>
      <w:r w:rsidRPr="00896252">
        <w:rPr>
          <w:rFonts w:ascii="Arial" w:hAnsi="Arial" w:cs="Arial"/>
        </w:rPr>
        <w:t xml:space="preserve"> kože o 27,3</w:t>
      </w:r>
      <w:r>
        <w:rPr>
          <w:rFonts w:ascii="Arial" w:hAnsi="Arial" w:cs="Arial"/>
        </w:rPr>
        <w:t> </w:t>
      </w:r>
      <w:r w:rsidRPr="00896252">
        <w:rPr>
          <w:rFonts w:ascii="Arial" w:hAnsi="Arial" w:cs="Arial"/>
        </w:rPr>
        <w:t>%.</w:t>
      </w:r>
    </w:p>
    <w:p w14:paraId="48DE33AA" w14:textId="7075B64D" w:rsidR="00A478E5" w:rsidRPr="00A32CB3" w:rsidRDefault="00896252" w:rsidP="00896252">
      <w:pPr>
        <w:spacing w:after="100"/>
        <w:ind w:firstLine="284"/>
        <w:rPr>
          <w:rFonts w:ascii="Arial" w:hAnsi="Arial" w:cs="Arial"/>
        </w:rPr>
      </w:pPr>
      <w:r w:rsidRPr="00896252">
        <w:rPr>
          <w:rFonts w:ascii="Arial" w:hAnsi="Arial" w:cs="Arial"/>
        </w:rPr>
        <w:t>Druhý najvyšší objem investícií smeroval do verejnej správy a obrany (18</w:t>
      </w:r>
      <w:r w:rsidRPr="00397E4E">
        <w:rPr>
          <w:rFonts w:ascii="Arial" w:hAnsi="Arial" w:cs="Arial"/>
        </w:rPr>
        <w:t>,1 %), v ktorej boli investície medziročne vyššie o 45,5 %.</w:t>
      </w:r>
    </w:p>
    <w:p w14:paraId="7CA19D59" w14:textId="64D83C80" w:rsidR="00896252" w:rsidRPr="00896252" w:rsidRDefault="00896252" w:rsidP="00896252">
      <w:pPr>
        <w:spacing w:after="100"/>
        <w:ind w:firstLine="284"/>
        <w:rPr>
          <w:rFonts w:ascii="Arial" w:hAnsi="Arial" w:cs="Arial"/>
        </w:rPr>
      </w:pPr>
      <w:r w:rsidRPr="00896252">
        <w:rPr>
          <w:rFonts w:ascii="Arial" w:hAnsi="Arial" w:cs="Arial"/>
        </w:rPr>
        <w:lastRenderedPageBreak/>
        <w:t>Tretí najvyšší objem investícií, s podielom 15,2 % smeroval do činnosti v oblasti nehnuteľností, kde boli investície medziročne nižšie o 9,7 %. V odvetví dodávka elektriny, plynu, pary a studeného vzduchu bol zaznamenaný medziročný rast o 73,8</w:t>
      </w:r>
      <w:r w:rsidR="00196C0A">
        <w:rPr>
          <w:rFonts w:ascii="Arial" w:hAnsi="Arial" w:cs="Arial"/>
        </w:rPr>
        <w:t> </w:t>
      </w:r>
      <w:r w:rsidRPr="00896252">
        <w:rPr>
          <w:rFonts w:ascii="Arial" w:hAnsi="Arial" w:cs="Arial"/>
        </w:rPr>
        <w:t>%.</w:t>
      </w:r>
    </w:p>
    <w:p w14:paraId="5F1E4E26" w14:textId="5121AFAF" w:rsidR="00896252" w:rsidRPr="00896252" w:rsidRDefault="00896252" w:rsidP="00896252">
      <w:pPr>
        <w:spacing w:after="100"/>
        <w:ind w:firstLine="284"/>
        <w:rPr>
          <w:rFonts w:ascii="Arial" w:hAnsi="Arial" w:cs="Arial"/>
        </w:rPr>
      </w:pPr>
      <w:r w:rsidRPr="00896252">
        <w:rPr>
          <w:rFonts w:ascii="Arial" w:hAnsi="Arial" w:cs="Arial"/>
        </w:rPr>
        <w:t>Vyššia aktivita bola ovplyvnená najmä vyšším objemom nakúpených nových fixných aktív o 7,3 % v hodnote 9</w:t>
      </w:r>
      <w:r w:rsidR="00196C0A">
        <w:rPr>
          <w:rFonts w:ascii="Arial" w:hAnsi="Arial" w:cs="Arial"/>
        </w:rPr>
        <w:t> </w:t>
      </w:r>
      <w:r w:rsidRPr="00896252">
        <w:rPr>
          <w:rFonts w:ascii="Arial" w:hAnsi="Arial" w:cs="Arial"/>
        </w:rPr>
        <w:t>mld. eur. Objem úbytku použitého dlhodobého majetku sa znížil o 20,9 % na 495,4 mil. eur.</w:t>
      </w:r>
    </w:p>
    <w:p w14:paraId="28A8FA86" w14:textId="77777777" w:rsidR="00896252" w:rsidRPr="00896252" w:rsidRDefault="00896252" w:rsidP="00896252">
      <w:pPr>
        <w:spacing w:after="100"/>
        <w:ind w:firstLine="284"/>
        <w:rPr>
          <w:rFonts w:ascii="Arial" w:hAnsi="Arial" w:cs="Arial"/>
        </w:rPr>
      </w:pPr>
      <w:r w:rsidRPr="00896252">
        <w:rPr>
          <w:rFonts w:ascii="Arial" w:hAnsi="Arial" w:cs="Arial"/>
        </w:rPr>
        <w:t xml:space="preserve">Z hľadiska jednotlivých sektorov najväčší podiel investícií, 51,8 %, smeroval do nefinančných korporácií, kde bol zaznamenaný medziročný rast o 0,4 %. Vyšší rast investičnej aktivity zaznamenal sektor verejnej správy, ktorý investoval medziročne viac o 30,5 %. Výrazne najmenšia investičná aktivita pokračovala v sektore domácností, kde vo 4. štvrťroku 2025 bola v medziročnom poklese o 14,4 %. </w:t>
      </w:r>
    </w:p>
    <w:p w14:paraId="4E2CD362" w14:textId="20EC6C4D" w:rsidR="002061D2" w:rsidRPr="002061D2" w:rsidRDefault="00896252" w:rsidP="00896252">
      <w:pPr>
        <w:spacing w:after="100"/>
        <w:ind w:firstLine="284"/>
        <w:rPr>
          <w:rFonts w:ascii="Arial" w:hAnsi="Arial" w:cs="Arial"/>
        </w:rPr>
      </w:pPr>
      <w:r w:rsidRPr="00896252">
        <w:rPr>
          <w:rFonts w:ascii="Arial" w:hAnsi="Arial" w:cs="Arial"/>
        </w:rPr>
        <w:t>Medziročný rast investičného dopytu bol výsledkom vyšších investícií do strojov a zariadení, zbraňových systémov o 24,5</w:t>
      </w:r>
      <w:r w:rsidR="00196C0A">
        <w:rPr>
          <w:rFonts w:ascii="Arial" w:hAnsi="Arial" w:cs="Arial"/>
        </w:rPr>
        <w:t> </w:t>
      </w:r>
      <w:r w:rsidRPr="00896252">
        <w:rPr>
          <w:rFonts w:ascii="Arial" w:hAnsi="Arial" w:cs="Arial"/>
        </w:rPr>
        <w:t>%, v tom výdavky do ostatných strojov a zariadení rástli o 34,8 % a do dopravných prostriedkov o 1,4 %. Mierne sa znížili kapitálové výdavky do stavieb o 8,2 %, v tom do budov na bývanie klesli o 22,8 % a do ostatných stavieb o 0,6</w:t>
      </w:r>
      <w:r w:rsidR="00196C0A">
        <w:rPr>
          <w:rFonts w:ascii="Arial" w:hAnsi="Arial" w:cs="Arial"/>
        </w:rPr>
        <w:t> </w:t>
      </w:r>
      <w:r w:rsidRPr="00896252">
        <w:rPr>
          <w:rFonts w:ascii="Arial" w:hAnsi="Arial" w:cs="Arial"/>
        </w:rPr>
        <w:t>%. Vyšší rast výdavkov bol zaznamenaný v investovaní do produktov duševného vlastníctva o 0,8</w:t>
      </w:r>
      <w:r w:rsidR="00196C0A">
        <w:rPr>
          <w:rFonts w:ascii="Arial" w:hAnsi="Arial" w:cs="Arial"/>
        </w:rPr>
        <w:t> </w:t>
      </w:r>
      <w:r w:rsidRPr="00896252">
        <w:rPr>
          <w:rFonts w:ascii="Arial" w:hAnsi="Arial" w:cs="Arial"/>
        </w:rPr>
        <w:t>%.</w:t>
      </w:r>
    </w:p>
    <w:p w14:paraId="79779A0C" w14:textId="29C7CF53" w:rsidR="00B86DBD" w:rsidRPr="009D750F" w:rsidRDefault="00F460F4" w:rsidP="009F4B5C">
      <w:pPr>
        <w:tabs>
          <w:tab w:val="left" w:pos="426"/>
        </w:tabs>
        <w:spacing w:after="100"/>
        <w:ind w:firstLine="284"/>
        <w:rPr>
          <w:rFonts w:ascii="Arial" w:hAnsi="Arial" w:cs="Arial"/>
        </w:rPr>
      </w:pPr>
      <w:r>
        <w:rPr>
          <w:noProof/>
        </w:rPr>
        <w:drawing>
          <wp:inline distT="0" distB="0" distL="0" distR="0" wp14:anchorId="71696A68" wp14:editId="74240E04">
            <wp:extent cx="5334000" cy="3438525"/>
            <wp:effectExtent l="0" t="0" r="0" b="0"/>
            <wp:docPr id="1751075729" name="Graf 1">
              <a:extLst xmlns:a="http://schemas.openxmlformats.org/drawingml/2006/main">
                <a:ext uri="{FF2B5EF4-FFF2-40B4-BE49-F238E27FC236}">
                  <a16:creationId xmlns:a16="http://schemas.microsoft.com/office/drawing/2014/main" id="{0926222F-6255-40C2-AB0F-9E037A2D0D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900CA7" w14:textId="77777777" w:rsidR="00E961EE" w:rsidRPr="009D750F" w:rsidRDefault="00E961EE" w:rsidP="009F4B5C">
      <w:pPr>
        <w:tabs>
          <w:tab w:val="left" w:pos="426"/>
        </w:tabs>
        <w:rPr>
          <w:rFonts w:ascii="Arial" w:hAnsi="Arial" w:cs="Arial"/>
          <w:sz w:val="10"/>
          <w:szCs w:val="10"/>
        </w:rPr>
      </w:pPr>
    </w:p>
    <w:p w14:paraId="5CFF64D8" w14:textId="22C82DF0" w:rsidR="00C8585D" w:rsidRPr="00C8585D" w:rsidRDefault="00C8585D" w:rsidP="00C8585D">
      <w:pPr>
        <w:spacing w:after="100"/>
        <w:ind w:firstLine="284"/>
        <w:rPr>
          <w:rFonts w:ascii="Arial" w:hAnsi="Arial" w:cs="Arial"/>
        </w:rPr>
      </w:pPr>
      <w:r w:rsidRPr="00C8585D">
        <w:rPr>
          <w:rFonts w:ascii="Arial" w:hAnsi="Arial" w:cs="Arial"/>
          <w:b/>
          <w:i/>
        </w:rPr>
        <w:t>Stav zásob</w:t>
      </w:r>
      <w:r w:rsidRPr="00C8585D">
        <w:rPr>
          <w:rFonts w:ascii="Arial" w:hAnsi="Arial" w:cs="Arial"/>
        </w:rPr>
        <w:t xml:space="preserve"> sa vo 4. štvrťroku 2025 výrazne znížil o takmer 1,7 mld. eur. </w:t>
      </w:r>
      <w:r w:rsidRPr="00C8585D">
        <w:rPr>
          <w:rFonts w:ascii="Arial" w:hAnsi="Arial" w:cs="Arial"/>
          <w:szCs w:val="22"/>
        </w:rPr>
        <w:t>Vývoj ovplyvnil najmä pokles zásob</w:t>
      </w:r>
      <w:r w:rsidRPr="00C8585D">
        <w:rPr>
          <w:rFonts w:ascii="Arial" w:hAnsi="Arial" w:cs="Arial"/>
        </w:rPr>
        <w:t xml:space="preserve"> výrobkov a zvierat o 519,1</w:t>
      </w:r>
      <w:r>
        <w:rPr>
          <w:rFonts w:ascii="Arial" w:hAnsi="Arial" w:cs="Arial"/>
        </w:rPr>
        <w:t> </w:t>
      </w:r>
      <w:r w:rsidRPr="00C8585D">
        <w:rPr>
          <w:rFonts w:ascii="Arial" w:hAnsi="Arial" w:cs="Arial"/>
        </w:rPr>
        <w:t>mil. eur, nedokončenej výroby a polotovarov o 516,5 mil. eur,</w:t>
      </w:r>
      <w:r w:rsidRPr="00C8585D">
        <w:rPr>
          <w:rFonts w:ascii="Arial" w:hAnsi="Arial" w:cs="Arial"/>
          <w:szCs w:val="22"/>
        </w:rPr>
        <w:t xml:space="preserve"> </w:t>
      </w:r>
      <w:r w:rsidRPr="00C8585D">
        <w:rPr>
          <w:rFonts w:ascii="Arial" w:hAnsi="Arial" w:cs="Arial"/>
        </w:rPr>
        <w:t>materiálu o 386,6</w:t>
      </w:r>
      <w:r>
        <w:rPr>
          <w:rFonts w:ascii="Arial" w:hAnsi="Arial" w:cs="Arial"/>
        </w:rPr>
        <w:t> </w:t>
      </w:r>
      <w:r w:rsidRPr="00C8585D">
        <w:rPr>
          <w:rFonts w:ascii="Arial" w:hAnsi="Arial" w:cs="Arial"/>
        </w:rPr>
        <w:t>mil. eur a zásob tovaru o 264,7</w:t>
      </w:r>
      <w:r>
        <w:rPr>
          <w:rFonts w:ascii="Arial" w:hAnsi="Arial" w:cs="Arial"/>
        </w:rPr>
        <w:t> </w:t>
      </w:r>
      <w:r w:rsidRPr="00C8585D">
        <w:rPr>
          <w:rFonts w:ascii="Arial" w:hAnsi="Arial" w:cs="Arial"/>
        </w:rPr>
        <w:t xml:space="preserve">mil. eur. </w:t>
      </w:r>
    </w:p>
    <w:p w14:paraId="4CCCABA1" w14:textId="77777777" w:rsidR="00C8585D" w:rsidRPr="00C8585D" w:rsidRDefault="00C8585D" w:rsidP="00C8585D">
      <w:pPr>
        <w:spacing w:after="100"/>
        <w:ind w:firstLine="284"/>
        <w:rPr>
          <w:rFonts w:ascii="Arial" w:hAnsi="Arial" w:cs="Arial"/>
          <w:szCs w:val="22"/>
        </w:rPr>
      </w:pPr>
      <w:r w:rsidRPr="00C8585D">
        <w:rPr>
          <w:rFonts w:ascii="Arial" w:hAnsi="Arial" w:cs="Arial"/>
          <w:b/>
        </w:rPr>
        <w:t>V súhrne za rok 2025</w:t>
      </w:r>
      <w:r w:rsidRPr="00C8585D">
        <w:rPr>
          <w:rFonts w:ascii="Arial" w:hAnsi="Arial" w:cs="Arial"/>
        </w:rPr>
        <w:t xml:space="preserve"> dosiahla celková tvorba hrubého kapitálu 27,5 mld. eur, čo predstavovalo medziročný nárast o 1,1 %. Jeho podzložka, tvorba hrubého fixného ka</w:t>
      </w:r>
      <w:r w:rsidRPr="00C8585D">
        <w:rPr>
          <w:rFonts w:ascii="Arial" w:hAnsi="Arial" w:cs="Arial"/>
        </w:rPr>
        <w:softHyphen/>
        <w:t>pi</w:t>
      </w:r>
      <w:r w:rsidRPr="00C8585D">
        <w:rPr>
          <w:rFonts w:ascii="Arial" w:hAnsi="Arial" w:cs="Arial"/>
        </w:rPr>
        <w:softHyphen/>
        <w:t>tá</w:t>
      </w:r>
      <w:r w:rsidRPr="00C8585D">
        <w:rPr>
          <w:rFonts w:ascii="Arial" w:hAnsi="Arial" w:cs="Arial"/>
        </w:rPr>
        <w:softHyphen/>
        <w:t xml:space="preserve">lu, tvorila </w:t>
      </w:r>
      <w:r w:rsidRPr="00C8585D">
        <w:rPr>
          <w:rFonts w:ascii="Arial" w:hAnsi="Arial" w:cs="Arial"/>
          <w:spacing w:val="-2"/>
        </w:rPr>
        <w:t>objem 28,1 mld. eur a zaznamenala medziročné zvýšenie o 2,2 %. Rast dynamiky investovania v druhom polroku 2025 bol výraznejší, čo prekrylo mínusové hodnoty zo začiatku roka. Investičný rast bol výraznejší ako pred rokom, kedy dosiahol 1,6 %, avšak nedostal sa na úroveň silnejších rokov 2021 až 2023, kedy investície rástli cez 4 %</w:t>
      </w:r>
      <w:r w:rsidRPr="00C8585D">
        <w:rPr>
          <w:rFonts w:ascii="Arial" w:hAnsi="Arial" w:cs="Arial"/>
        </w:rPr>
        <w:t>.</w:t>
      </w:r>
    </w:p>
    <w:p w14:paraId="1EA44D72" w14:textId="5A355962" w:rsidR="006C6252" w:rsidRPr="006C6252" w:rsidRDefault="00C8585D" w:rsidP="00C8585D">
      <w:pPr>
        <w:spacing w:after="100"/>
        <w:ind w:firstLine="284"/>
        <w:rPr>
          <w:rFonts w:ascii="Arial" w:hAnsi="Arial" w:cs="Arial"/>
        </w:rPr>
      </w:pPr>
      <w:r w:rsidRPr="00C8585D">
        <w:rPr>
          <w:rFonts w:ascii="Arial" w:hAnsi="Arial" w:cs="Arial"/>
          <w:spacing w:val="-4"/>
        </w:rPr>
        <w:t>Z celkového počtu sledovaných 19 odvetví medziročný rast investícií za rok 2025 zaznamenalo 12 z nich. Najviac peňažných prostriedkov, a to 25,4 %, sa investovalo v odvetví priemyslu, v ktorom investície rástli o 9,1 %. Z 13 odvetví priemyselnej výroby nárast investičnej aktivity zaznamenalo až 8 odvetví, najviac v odvetví vo výrobe elektrických zariadení</w:t>
      </w:r>
      <w:r w:rsidRPr="00E310DE">
        <w:rPr>
          <w:rFonts w:ascii="Arial" w:hAnsi="Arial" w:cs="Arial"/>
          <w:spacing w:val="-4"/>
        </w:rPr>
        <w:t xml:space="preserve"> o 58,4 %. Váhovo najsilnejšia výroba dopravných prostriedkov vykázala nárast o 37,7 %.</w:t>
      </w:r>
      <w:r w:rsidRPr="00E310DE">
        <w:rPr>
          <w:rFonts w:ascii="Arial" w:hAnsi="Arial" w:cs="Arial"/>
        </w:rPr>
        <w:t xml:space="preserve"> Druhý </w:t>
      </w:r>
      <w:r w:rsidRPr="00E310DE">
        <w:rPr>
          <w:rFonts w:ascii="Arial" w:hAnsi="Arial" w:cs="Arial"/>
          <w:spacing w:val="-4"/>
        </w:rPr>
        <w:t xml:space="preserve">najvyšší objem </w:t>
      </w:r>
      <w:r w:rsidRPr="00C8585D">
        <w:rPr>
          <w:rFonts w:ascii="Arial" w:hAnsi="Arial" w:cs="Arial"/>
          <w:spacing w:val="-4"/>
        </w:rPr>
        <w:lastRenderedPageBreak/>
        <w:t xml:space="preserve">investícii (18,3 %) sa investoval v činnosti v oblasti nehnuteľností, investície medziročne klesli o 8,6 %. </w:t>
      </w:r>
      <w:r w:rsidRPr="00C8585D">
        <w:rPr>
          <w:rFonts w:ascii="Arial" w:hAnsi="Arial" w:cs="Arial"/>
        </w:rPr>
        <w:t>Tretí najvyšší objem investícií, s podielom 11 %, smeroval do odvetvia verejnej správy a obrany a vzdelávania, kde boli investície medziročne vyššie o 49,1 %. Pokles investícií v ročnej bilancii, a to nad 10 %, zaznamenali odvetvia stavebníctva (o 21,9 %) a veľkoobchodu a maloobchodu (o</w:t>
      </w:r>
      <w:r>
        <w:rPr>
          <w:rFonts w:ascii="Arial" w:hAnsi="Arial" w:cs="Arial"/>
        </w:rPr>
        <w:t> </w:t>
      </w:r>
      <w:r w:rsidRPr="00C8585D">
        <w:rPr>
          <w:rFonts w:ascii="Arial" w:hAnsi="Arial" w:cs="Arial"/>
        </w:rPr>
        <w:t>11,2</w:t>
      </w:r>
      <w:r>
        <w:rPr>
          <w:rFonts w:ascii="Arial" w:hAnsi="Arial" w:cs="Arial"/>
        </w:rPr>
        <w:t> </w:t>
      </w:r>
      <w:r w:rsidRPr="00C8585D">
        <w:rPr>
          <w:rFonts w:ascii="Arial" w:hAnsi="Arial" w:cs="Arial"/>
        </w:rPr>
        <w:t>%).</w:t>
      </w:r>
      <w:r w:rsidR="006C6252" w:rsidRPr="006C6252">
        <w:rPr>
          <w:rFonts w:ascii="Arial" w:hAnsi="Arial" w:cs="Arial"/>
        </w:rPr>
        <w:t xml:space="preserve"> </w:t>
      </w:r>
    </w:p>
    <w:p w14:paraId="44D2EA08" w14:textId="77777777" w:rsidR="00C402FE" w:rsidRDefault="00C402FE" w:rsidP="009F4B5C">
      <w:pPr>
        <w:tabs>
          <w:tab w:val="left" w:pos="426"/>
        </w:tabs>
        <w:rPr>
          <w:rFonts w:ascii="Arial" w:hAnsi="Arial"/>
          <w:color w:val="2E74B5" w:themeColor="accent1" w:themeShade="BF"/>
          <w:szCs w:val="22"/>
          <w:u w:val="single"/>
        </w:rPr>
      </w:pPr>
    </w:p>
    <w:p w14:paraId="21421F70" w14:textId="214E4E50" w:rsidR="00C87B4D" w:rsidRPr="00C402FE" w:rsidRDefault="00C87B4D" w:rsidP="009F4B5C">
      <w:pPr>
        <w:tabs>
          <w:tab w:val="left" w:pos="426"/>
        </w:tabs>
        <w:rPr>
          <w:rFonts w:ascii="Arial" w:hAnsi="Arial"/>
          <w:szCs w:val="22"/>
          <w:u w:val="single"/>
        </w:rPr>
      </w:pPr>
      <w:r w:rsidRPr="00C402FE">
        <w:rPr>
          <w:rFonts w:ascii="Arial" w:hAnsi="Arial"/>
          <w:szCs w:val="22"/>
          <w:u w:val="single"/>
        </w:rPr>
        <w:t>Výstavba bytov</w:t>
      </w:r>
      <w:r w:rsidR="00DD479B">
        <w:rPr>
          <w:rFonts w:ascii="Arial" w:hAnsi="Arial"/>
          <w:szCs w:val="22"/>
        </w:rPr>
        <w:t xml:space="preserve"> </w:t>
      </w:r>
      <w:r w:rsidRPr="00C402FE">
        <w:rPr>
          <w:rFonts w:ascii="Arial" w:hAnsi="Arial"/>
          <w:szCs w:val="22"/>
        </w:rPr>
        <w:t> </w:t>
      </w:r>
    </w:p>
    <w:p w14:paraId="00BCCB15" w14:textId="404E275C" w:rsidR="00C87B4D" w:rsidRPr="00C402FE" w:rsidRDefault="00CB648F" w:rsidP="009F4B5C">
      <w:pPr>
        <w:pStyle w:val="BodyText21"/>
        <w:tabs>
          <w:tab w:val="left" w:pos="426"/>
        </w:tabs>
        <w:spacing w:after="100"/>
        <w:ind w:firstLine="0"/>
        <w:rPr>
          <w:rFonts w:ascii="Arial" w:hAnsi="Arial" w:cs="Arial"/>
          <w:sz w:val="20"/>
        </w:rPr>
      </w:pPr>
      <w:r w:rsidRPr="00C402FE">
        <w:rPr>
          <w:rFonts w:ascii="Arial" w:hAnsi="Arial" w:cs="Arial"/>
          <w:sz w:val="20"/>
        </w:rPr>
        <w:t>(tab.</w:t>
      </w:r>
      <w:r w:rsidR="00AE2217" w:rsidRPr="00C402FE">
        <w:rPr>
          <w:rFonts w:ascii="Arial" w:hAnsi="Arial" w:cs="Arial"/>
          <w:sz w:val="20"/>
        </w:rPr>
        <w:t xml:space="preserve"> </w:t>
      </w:r>
      <w:r w:rsidRPr="00C402FE">
        <w:rPr>
          <w:rFonts w:ascii="Arial" w:hAnsi="Arial" w:cs="Arial"/>
          <w:sz w:val="20"/>
        </w:rPr>
        <w:t>T</w:t>
      </w:r>
      <w:r w:rsidR="00915688" w:rsidRPr="00C402FE">
        <w:rPr>
          <w:rFonts w:ascii="Arial" w:hAnsi="Arial" w:cs="Arial"/>
          <w:sz w:val="20"/>
        </w:rPr>
        <w:t>1</w:t>
      </w:r>
      <w:r w:rsidR="00C8585D">
        <w:rPr>
          <w:rFonts w:ascii="Arial" w:hAnsi="Arial" w:cs="Arial"/>
          <w:sz w:val="20"/>
        </w:rPr>
        <w:t>2</w:t>
      </w:r>
      <w:r w:rsidR="00C87B4D" w:rsidRPr="00C402FE">
        <w:rPr>
          <w:rFonts w:ascii="Arial" w:hAnsi="Arial" w:cs="Arial"/>
          <w:sz w:val="20"/>
        </w:rPr>
        <w:t>)</w:t>
      </w:r>
      <w:r w:rsidR="00DD479B">
        <w:rPr>
          <w:rFonts w:ascii="Arial" w:hAnsi="Arial" w:cs="Arial"/>
          <w:sz w:val="20"/>
        </w:rPr>
        <w:t xml:space="preserve">  </w:t>
      </w:r>
    </w:p>
    <w:p w14:paraId="1611CB2E" w14:textId="5BDA1BB6" w:rsidR="003D37CB" w:rsidRPr="00AB0779" w:rsidRDefault="003A663A" w:rsidP="003D37CB">
      <w:pPr>
        <w:spacing w:after="120"/>
        <w:ind w:firstLine="284"/>
        <w:rPr>
          <w:rFonts w:ascii="Arial" w:hAnsi="Arial" w:cs="Arial"/>
          <w:color w:val="EE0000"/>
          <w:spacing w:val="-5"/>
        </w:rPr>
      </w:pPr>
      <w:r w:rsidRPr="00C9063B">
        <w:rPr>
          <w:rFonts w:ascii="Arial" w:hAnsi="Arial" w:cs="Arial"/>
          <w:bCs/>
          <w:spacing w:val="-5"/>
        </w:rPr>
        <w:t>V posledných troch mesiacoch roka 2025</w:t>
      </w:r>
      <w:r w:rsidRPr="00C9063B">
        <w:rPr>
          <w:rFonts w:ascii="Arial" w:hAnsi="Arial" w:cs="Arial"/>
          <w:spacing w:val="-5"/>
        </w:rPr>
        <w:t xml:space="preserve"> sa v SR </w:t>
      </w:r>
      <w:r w:rsidRPr="00C9063B">
        <w:rPr>
          <w:rFonts w:ascii="Arial" w:hAnsi="Arial" w:cs="Arial"/>
          <w:b/>
          <w:spacing w:val="-5"/>
        </w:rPr>
        <w:t>dokončilo</w:t>
      </w:r>
      <w:r w:rsidRPr="00017FEA">
        <w:rPr>
          <w:rStyle w:val="Odkaznapoznmkupodiarou"/>
          <w:rFonts w:ascii="Arial" w:hAnsi="Arial" w:cs="Arial"/>
          <w:szCs w:val="16"/>
        </w:rPr>
        <w:footnoteReference w:id="12"/>
      </w:r>
      <w:r w:rsidRPr="00017FEA">
        <w:rPr>
          <w:rFonts w:ascii="Arial" w:hAnsi="Arial" w:cs="Arial"/>
          <w:b/>
          <w:szCs w:val="22"/>
          <w:vertAlign w:val="superscript"/>
        </w:rPr>
        <w:t>)</w:t>
      </w:r>
      <w:r w:rsidRPr="00C9063B">
        <w:rPr>
          <w:rFonts w:ascii="Arial" w:hAnsi="Arial" w:cs="Arial"/>
          <w:b/>
          <w:spacing w:val="-5"/>
        </w:rPr>
        <w:t xml:space="preserve"> </w:t>
      </w:r>
      <w:r w:rsidRPr="00C9063B">
        <w:rPr>
          <w:rFonts w:ascii="Arial" w:hAnsi="Arial" w:cs="Arial"/>
          <w:spacing w:val="-5"/>
        </w:rPr>
        <w:t xml:space="preserve">3 235 bytov. Počty bytových kolaudácií medziročne klesli o viac ako tretinu, znížili sa aj v porovnaní s dlhodobým 10-ročným priemerom rovnakého obdobia. Naďalej v štruktúre kolaudácií prevažovali </w:t>
      </w:r>
      <w:r w:rsidRPr="00C9063B">
        <w:rPr>
          <w:rFonts w:ascii="Arial" w:hAnsi="Arial" w:cs="Arial"/>
          <w:b/>
          <w:bCs/>
        </w:rPr>
        <w:t>byty v rodinných domoch</w:t>
      </w:r>
      <w:r w:rsidRPr="00C9063B">
        <w:rPr>
          <w:rFonts w:ascii="Arial" w:hAnsi="Arial" w:cs="Arial"/>
        </w:rPr>
        <w:t xml:space="preserve">, ich podiel z celku tvoril 68 %. </w:t>
      </w:r>
      <w:r w:rsidRPr="00C9063B">
        <w:rPr>
          <w:rFonts w:ascii="Arial" w:hAnsi="Arial" w:cs="Arial"/>
          <w:spacing w:val="-5"/>
        </w:rPr>
        <w:t>Štatistické informácie o výstavbe bytov za 3. a 4. štvrťrok 2025 sú predbežné z dôvodu prechodu na nový dátový zdroj a budú dodatočne spresnené.</w:t>
      </w:r>
    </w:p>
    <w:p w14:paraId="38436743" w14:textId="1CFF3AFC" w:rsidR="00717F54" w:rsidRPr="00AB0779" w:rsidRDefault="003A663A" w:rsidP="003A663A">
      <w:pPr>
        <w:spacing w:after="120"/>
        <w:ind w:firstLine="284"/>
        <w:rPr>
          <w:rFonts w:ascii="Arial" w:hAnsi="Arial" w:cs="Arial"/>
          <w:color w:val="EE0000"/>
        </w:rPr>
      </w:pPr>
      <w:r w:rsidRPr="00C9063B">
        <w:rPr>
          <w:rFonts w:ascii="Arial" w:hAnsi="Arial" w:cs="Arial"/>
        </w:rPr>
        <w:t>Na regionálnej úrovni sa zhoršenie situácie prejavilo v 6 z 8 krajov, od poklesu 71</w:t>
      </w:r>
      <w:r>
        <w:rPr>
          <w:rFonts w:ascii="Arial" w:hAnsi="Arial" w:cs="Arial"/>
        </w:rPr>
        <w:t> </w:t>
      </w:r>
      <w:r w:rsidRPr="00C9063B">
        <w:rPr>
          <w:rFonts w:ascii="Arial" w:hAnsi="Arial" w:cs="Arial"/>
        </w:rPr>
        <w:t>% Bratislavskom kraji po 22</w:t>
      </w:r>
      <w:r>
        <w:rPr>
          <w:rFonts w:ascii="Arial" w:hAnsi="Arial" w:cs="Arial"/>
        </w:rPr>
        <w:t> </w:t>
      </w:r>
      <w:r w:rsidRPr="00C9063B">
        <w:rPr>
          <w:rFonts w:ascii="Arial" w:hAnsi="Arial" w:cs="Arial"/>
        </w:rPr>
        <w:t>% v Trnavskom kraji. Mierny medziročný nárast skolaudovaných bytových jednotiek zaznamenal len Žilinský a Banskobystrický kraj.</w:t>
      </w:r>
      <w:r>
        <w:rPr>
          <w:rFonts w:ascii="Arial" w:hAnsi="Arial" w:cs="Arial"/>
        </w:rPr>
        <w:t xml:space="preserve"> </w:t>
      </w:r>
      <w:r w:rsidRPr="00C9063B">
        <w:rPr>
          <w:rFonts w:ascii="Arial" w:hAnsi="Arial" w:cs="Arial"/>
        </w:rPr>
        <w:t>V dlhodobom porovnaní počet dokončených bytov dvojciferne klesol vo všetkých 8 krajoch, najvýraznejšie, v Bratislavskom a v Košickom kraji.</w:t>
      </w:r>
      <w:r w:rsidR="00717F54" w:rsidRPr="00AB0779">
        <w:rPr>
          <w:rFonts w:ascii="Arial" w:hAnsi="Arial" w:cs="Arial"/>
          <w:color w:val="EE0000"/>
        </w:rPr>
        <w:t xml:space="preserve"> </w:t>
      </w:r>
    </w:p>
    <w:p w14:paraId="77A8C188" w14:textId="002E169B" w:rsidR="00345B3D" w:rsidRPr="00AB0779" w:rsidRDefault="003A663A" w:rsidP="00006AA2">
      <w:pPr>
        <w:tabs>
          <w:tab w:val="left" w:pos="426"/>
        </w:tabs>
        <w:spacing w:after="120"/>
        <w:ind w:firstLine="284"/>
        <w:rPr>
          <w:rFonts w:ascii="Arial" w:hAnsi="Arial" w:cs="Arial"/>
          <w:color w:val="EE0000"/>
        </w:rPr>
      </w:pPr>
      <w:r w:rsidRPr="00C9063B">
        <w:rPr>
          <w:rFonts w:ascii="Arial" w:hAnsi="Arial" w:cs="Arial"/>
          <w:bCs/>
          <w:spacing w:val="-5"/>
        </w:rPr>
        <w:t xml:space="preserve">Súčasne sa v poslednom štvrťroku 2025 začalo stavať </w:t>
      </w:r>
      <w:r w:rsidR="00F4552F">
        <w:rPr>
          <w:rFonts w:ascii="Arial" w:hAnsi="Arial" w:cs="Arial"/>
          <w:bCs/>
          <w:spacing w:val="-5"/>
        </w:rPr>
        <w:t>3 570</w:t>
      </w:r>
      <w:r w:rsidRPr="00C9063B">
        <w:rPr>
          <w:rFonts w:ascii="Arial" w:hAnsi="Arial" w:cs="Arial"/>
          <w:bCs/>
          <w:spacing w:val="-5"/>
        </w:rPr>
        <w:t xml:space="preserve"> bytových jednotiek</w:t>
      </w:r>
      <w:r w:rsidRPr="00C9063B">
        <w:rPr>
          <w:rFonts w:ascii="Arial" w:hAnsi="Arial" w:cs="Arial"/>
          <w:spacing w:val="-5"/>
        </w:rPr>
        <w:t xml:space="preserve">. </w:t>
      </w:r>
      <w:r w:rsidRPr="00C9063B">
        <w:rPr>
          <w:rFonts w:ascii="Arial" w:hAnsi="Arial" w:cs="Arial"/>
          <w:bCs/>
          <w:spacing w:val="-5"/>
        </w:rPr>
        <w:t>Počet</w:t>
      </w:r>
      <w:r w:rsidRPr="00C9063B">
        <w:rPr>
          <w:rFonts w:ascii="Arial" w:hAnsi="Arial" w:cs="Arial"/>
          <w:b/>
          <w:spacing w:val="-5"/>
        </w:rPr>
        <w:t xml:space="preserve"> začatých bytov</w:t>
      </w:r>
      <w:r w:rsidRPr="00017FEA">
        <w:rPr>
          <w:rStyle w:val="Odkaznapoznmkupodiarou"/>
          <w:rFonts w:ascii="Arial" w:hAnsi="Arial" w:cs="Arial"/>
        </w:rPr>
        <w:footnoteReference w:id="13"/>
      </w:r>
      <w:r w:rsidRPr="00017FEA">
        <w:rPr>
          <w:rStyle w:val="Odkaznapoznmkupodiarou"/>
          <w:rFonts w:ascii="Arial" w:hAnsi="Arial" w:cs="Arial"/>
        </w:rPr>
        <w:t>)</w:t>
      </w:r>
      <w:r w:rsidRPr="00C9063B">
        <w:rPr>
          <w:rFonts w:ascii="Arial" w:hAnsi="Arial" w:cs="Arial"/>
          <w:bCs/>
          <w:spacing w:val="-5"/>
        </w:rPr>
        <w:t xml:space="preserve"> b</w:t>
      </w:r>
      <w:r w:rsidRPr="00C9063B">
        <w:rPr>
          <w:rFonts w:ascii="Arial" w:hAnsi="Arial" w:cs="Arial"/>
          <w:spacing w:val="-5"/>
        </w:rPr>
        <w:t xml:space="preserve">ol medziročne približne rovnaký a súčasne o 37 % nižší ako dlhodobý priemer rovnakého obdobia. Z celkového počtu začatých bytov tvorili </w:t>
      </w:r>
      <w:r w:rsidRPr="00C9063B">
        <w:rPr>
          <w:rFonts w:ascii="Arial" w:hAnsi="Arial" w:cs="Arial"/>
          <w:b/>
          <w:spacing w:val="-5"/>
        </w:rPr>
        <w:t xml:space="preserve">rodinné domy </w:t>
      </w:r>
      <w:r w:rsidRPr="00C9063B">
        <w:rPr>
          <w:rFonts w:ascii="Arial" w:hAnsi="Arial" w:cs="Arial"/>
          <w:bCs/>
          <w:spacing w:val="-5"/>
        </w:rPr>
        <w:t>iba</w:t>
      </w:r>
      <w:r w:rsidRPr="00C9063B">
        <w:rPr>
          <w:rFonts w:ascii="Arial" w:hAnsi="Arial" w:cs="Arial"/>
          <w:b/>
          <w:spacing w:val="-5"/>
        </w:rPr>
        <w:t xml:space="preserve"> </w:t>
      </w:r>
      <w:r w:rsidRPr="00C9063B">
        <w:rPr>
          <w:rFonts w:ascii="Arial" w:hAnsi="Arial" w:cs="Arial"/>
          <w:spacing w:val="-5"/>
        </w:rPr>
        <w:t>35 %.</w:t>
      </w:r>
      <w:r w:rsidR="00345B3D" w:rsidRPr="00017FEA">
        <w:rPr>
          <w:rFonts w:ascii="Arial" w:hAnsi="Arial" w:cs="Arial"/>
        </w:rPr>
        <w:t xml:space="preserve"> </w:t>
      </w:r>
    </w:p>
    <w:p w14:paraId="751F0051" w14:textId="2765BB17" w:rsidR="00006AA2" w:rsidRPr="00AB0779" w:rsidRDefault="003A663A" w:rsidP="00006AA2">
      <w:pPr>
        <w:tabs>
          <w:tab w:val="left" w:pos="426"/>
        </w:tabs>
        <w:spacing w:after="120"/>
        <w:ind w:firstLine="284"/>
        <w:rPr>
          <w:rFonts w:ascii="Arial" w:hAnsi="Arial" w:cs="Arial"/>
          <w:color w:val="EE0000"/>
        </w:rPr>
      </w:pPr>
      <w:r w:rsidRPr="00C9063B">
        <w:rPr>
          <w:rFonts w:ascii="Arial" w:hAnsi="Arial" w:cs="Arial"/>
          <w:spacing w:val="-5"/>
        </w:rPr>
        <w:t>Rozbeh výstavby sa medziročne spomalil v 5 krajoch SR, najdynamickejšie v Košickom kraji. Naopak, začiatok výstavby zrýchlil v 3 krajoch, nad 20 % v Nitrianskom a v Trnavskom kraji, na dvojnásobok v Bratislavskom kraji. V porovnaní s dlhodobým priemerom 4. štvrťrokov boli počty začatých bytov výrazne nižšie vo všetkých krajoch SR.</w:t>
      </w:r>
      <w:r w:rsidR="00006AA2" w:rsidRPr="00AB0779">
        <w:rPr>
          <w:rFonts w:ascii="Arial" w:hAnsi="Arial" w:cs="Arial"/>
          <w:color w:val="EE0000"/>
        </w:rPr>
        <w:t xml:space="preserve"> </w:t>
      </w:r>
    </w:p>
    <w:p w14:paraId="5AEC5D45" w14:textId="192B9BD8" w:rsidR="003A663A" w:rsidRDefault="003A663A" w:rsidP="00885EC3">
      <w:pPr>
        <w:spacing w:after="120"/>
        <w:ind w:firstLine="284"/>
        <w:rPr>
          <w:rFonts w:ascii="Arial" w:hAnsi="Arial" w:cs="Arial"/>
          <w:spacing w:val="-5"/>
        </w:rPr>
      </w:pPr>
      <w:r w:rsidRPr="003A663A">
        <w:rPr>
          <w:rFonts w:ascii="Arial" w:hAnsi="Arial" w:cs="Arial"/>
          <w:b/>
          <w:iCs/>
          <w:spacing w:val="-5"/>
        </w:rPr>
        <w:t>Bytovú výstavbu v roku 2025</w:t>
      </w:r>
      <w:r w:rsidRPr="00C9063B">
        <w:rPr>
          <w:rFonts w:ascii="Arial" w:hAnsi="Arial" w:cs="Arial"/>
          <w:bCs/>
          <w:iCs/>
          <w:spacing w:val="-5"/>
        </w:rPr>
        <w:t xml:space="preserve"> charakterizovalo mierne spomalenie rozbehu novej výstavby, výraznejšie zaostávanie dokončovania bytov a  nárast rozostavanosti.</w:t>
      </w:r>
      <w:r>
        <w:rPr>
          <w:rFonts w:ascii="Arial" w:hAnsi="Arial" w:cs="Arial"/>
          <w:bCs/>
          <w:iCs/>
          <w:spacing w:val="-5"/>
        </w:rPr>
        <w:t xml:space="preserve"> </w:t>
      </w:r>
      <w:r w:rsidRPr="00C9063B">
        <w:rPr>
          <w:rFonts w:ascii="Arial" w:hAnsi="Arial" w:cs="Arial"/>
        </w:rPr>
        <w:t xml:space="preserve">Počas roka 2025 sa v SR </w:t>
      </w:r>
      <w:r w:rsidRPr="00C9063B">
        <w:rPr>
          <w:rFonts w:ascii="Arial" w:hAnsi="Arial" w:cs="Arial"/>
          <w:b/>
        </w:rPr>
        <w:t>do</w:t>
      </w:r>
      <w:r w:rsidRPr="00C9063B">
        <w:rPr>
          <w:rFonts w:ascii="Arial" w:hAnsi="Arial" w:cs="Arial"/>
          <w:b/>
        </w:rPr>
        <w:softHyphen/>
        <w:t>končilo</w:t>
      </w:r>
      <w:r w:rsidRPr="00C9063B">
        <w:rPr>
          <w:rFonts w:ascii="Arial" w:hAnsi="Arial" w:cs="Arial"/>
        </w:rPr>
        <w:t xml:space="preserve"> 14</w:t>
      </w:r>
      <w:r w:rsidR="00F4552F">
        <w:rPr>
          <w:rFonts w:ascii="Arial" w:hAnsi="Arial" w:cs="Arial"/>
        </w:rPr>
        <w:t> 259</w:t>
      </w:r>
      <w:r w:rsidRPr="00C9063B">
        <w:rPr>
          <w:rFonts w:ascii="Arial" w:hAnsi="Arial" w:cs="Arial"/>
        </w:rPr>
        <w:t> bytov. Išlo o medziročný pokles o 19 % Aktuálne hodnoty takmer o štvrtinu zaostávali za priemerom predchádzajúcich 10 rokov</w:t>
      </w:r>
      <w:r w:rsidRPr="00C9063B">
        <w:rPr>
          <w:rFonts w:ascii="Arial" w:hAnsi="Arial" w:cs="Arial"/>
          <w:sz w:val="20"/>
        </w:rPr>
        <w:t xml:space="preserve"> </w:t>
      </w:r>
      <w:r w:rsidRPr="00C9063B">
        <w:rPr>
          <w:rFonts w:ascii="Arial" w:hAnsi="Arial" w:cs="Arial"/>
        </w:rPr>
        <w:t xml:space="preserve">(priemer r. 2015 až 2024). </w:t>
      </w:r>
      <w:r w:rsidRPr="00C9063B">
        <w:rPr>
          <w:rFonts w:ascii="Arial" w:hAnsi="Arial" w:cs="Arial"/>
          <w:spacing w:val="-5"/>
        </w:rPr>
        <w:t>Z dôvodu prechodu na nový dátový zdroj sú dáta o výstavbe bytov za rok 2025 predbežné a budú dodatočne spresnené.</w:t>
      </w:r>
    </w:p>
    <w:p w14:paraId="5A469343" w14:textId="068699CF" w:rsidR="005932A7" w:rsidRDefault="003A663A" w:rsidP="003A663A">
      <w:pPr>
        <w:spacing w:after="120"/>
        <w:ind w:firstLine="284"/>
        <w:rPr>
          <w:rFonts w:ascii="Arial" w:hAnsi="Arial" w:cs="Arial"/>
        </w:rPr>
      </w:pPr>
      <w:r>
        <w:rPr>
          <w:rFonts w:ascii="Arial" w:hAnsi="Arial" w:cs="Arial"/>
          <w:bCs/>
          <w:iCs/>
          <w:spacing w:val="-5"/>
        </w:rPr>
        <w:t xml:space="preserve"> </w:t>
      </w:r>
      <w:r w:rsidRPr="00C9063B">
        <w:rPr>
          <w:rFonts w:ascii="Arial" w:hAnsi="Arial" w:cs="Arial"/>
        </w:rPr>
        <w:t>Z regionálneho hľadiska najviac, viac ako 2</w:t>
      </w:r>
      <w:r>
        <w:rPr>
          <w:rFonts w:ascii="Arial" w:hAnsi="Arial" w:cs="Arial"/>
        </w:rPr>
        <w:t>-</w:t>
      </w:r>
      <w:r w:rsidRPr="00C9063B">
        <w:rPr>
          <w:rFonts w:ascii="Arial" w:hAnsi="Arial" w:cs="Arial"/>
        </w:rPr>
        <w:t>tisíc skolaudovaných bytov registrovali v Trnavskom, Žilinskom a Bratislavskom kraji. Počet dokončených bytov medziročne klesol v 7 z 8 krajov SR, a to od 2 % v Banskobystrickom kraji do 46 % v Bratislavskom kraji. Jediný región, ktorý si medziročne mierne vylepšil bilanciu skolaudovaných bytov bol Nitriansky kraj.</w:t>
      </w:r>
    </w:p>
    <w:p w14:paraId="74B9345E" w14:textId="2F6DB97D" w:rsidR="003A663A" w:rsidRDefault="003A663A" w:rsidP="003A663A">
      <w:pPr>
        <w:spacing w:after="120"/>
        <w:ind w:firstLine="284"/>
        <w:rPr>
          <w:rFonts w:ascii="Arial" w:hAnsi="Arial" w:cs="Arial"/>
          <w:bCs/>
        </w:rPr>
      </w:pPr>
      <w:r w:rsidRPr="00F8300F">
        <w:rPr>
          <w:rFonts w:ascii="Arial" w:hAnsi="Arial" w:cs="Arial"/>
          <w:bCs/>
        </w:rPr>
        <w:t>Súčasne v priebehu roka 202</w:t>
      </w:r>
      <w:r>
        <w:rPr>
          <w:rFonts w:ascii="Arial" w:hAnsi="Arial" w:cs="Arial"/>
          <w:bCs/>
        </w:rPr>
        <w:t>5</w:t>
      </w:r>
      <w:r w:rsidRPr="00F8300F">
        <w:rPr>
          <w:rFonts w:ascii="Arial" w:hAnsi="Arial" w:cs="Arial"/>
          <w:bCs/>
        </w:rPr>
        <w:t xml:space="preserve"> </w:t>
      </w:r>
      <w:r>
        <w:rPr>
          <w:rFonts w:ascii="Arial" w:hAnsi="Arial" w:cs="Arial"/>
          <w:bCs/>
        </w:rPr>
        <w:t>pokračovalo</w:t>
      </w:r>
      <w:r w:rsidRPr="00F8300F">
        <w:rPr>
          <w:rFonts w:ascii="Arial" w:hAnsi="Arial" w:cs="Arial"/>
          <w:bCs/>
        </w:rPr>
        <w:t xml:space="preserve"> spomalenie </w:t>
      </w:r>
      <w:r w:rsidRPr="00F8300F">
        <w:rPr>
          <w:rFonts w:ascii="Arial" w:hAnsi="Arial" w:cs="Arial"/>
          <w:b/>
        </w:rPr>
        <w:t>začiatku výstavby nových bytov.</w:t>
      </w:r>
      <w:r w:rsidRPr="00F8300F">
        <w:rPr>
          <w:rFonts w:ascii="Arial" w:hAnsi="Arial" w:cs="Arial"/>
          <w:bCs/>
        </w:rPr>
        <w:t xml:space="preserve"> Celkovo sa začalo stavať </w:t>
      </w:r>
      <w:r>
        <w:rPr>
          <w:rFonts w:ascii="Arial" w:hAnsi="Arial" w:cs="Arial"/>
          <w:bCs/>
        </w:rPr>
        <w:t>15</w:t>
      </w:r>
      <w:r w:rsidR="00F4552F">
        <w:rPr>
          <w:rFonts w:ascii="Arial" w:hAnsi="Arial" w:cs="Arial"/>
          <w:bCs/>
        </w:rPr>
        <w:t xml:space="preserve"> 081 </w:t>
      </w:r>
      <w:r>
        <w:rPr>
          <w:rFonts w:ascii="Arial" w:hAnsi="Arial" w:cs="Arial"/>
          <w:bCs/>
        </w:rPr>
        <w:t>by</w:t>
      </w:r>
      <w:r>
        <w:rPr>
          <w:rFonts w:ascii="Arial" w:hAnsi="Arial" w:cs="Arial"/>
          <w:bCs/>
        </w:rPr>
        <w:softHyphen/>
        <w:t>tov. Počet začatých bytov medziročne klesol len mierne, súčasne však bol o 26 % nižší, ako priemer za 10 rokov.</w:t>
      </w:r>
    </w:p>
    <w:p w14:paraId="3F8BEB86" w14:textId="75D74E0A" w:rsidR="003A663A" w:rsidRDefault="003A663A" w:rsidP="003A663A">
      <w:pPr>
        <w:spacing w:after="120"/>
        <w:ind w:firstLine="284"/>
        <w:rPr>
          <w:rFonts w:ascii="Arial" w:hAnsi="Arial" w:cs="Arial"/>
        </w:rPr>
      </w:pPr>
      <w:r>
        <w:rPr>
          <w:rFonts w:ascii="Arial" w:hAnsi="Arial" w:cs="Arial"/>
          <w:bCs/>
        </w:rPr>
        <w:t>Spomalenie</w:t>
      </w:r>
      <w:r w:rsidRPr="00F8300F">
        <w:rPr>
          <w:rFonts w:ascii="Arial" w:hAnsi="Arial" w:cs="Arial"/>
        </w:rPr>
        <w:t xml:space="preserve"> </w:t>
      </w:r>
      <w:r>
        <w:rPr>
          <w:rFonts w:ascii="Arial" w:hAnsi="Arial" w:cs="Arial"/>
        </w:rPr>
        <w:t xml:space="preserve">sa medziročne </w:t>
      </w:r>
      <w:r w:rsidRPr="00F8300F">
        <w:rPr>
          <w:rFonts w:ascii="Arial" w:hAnsi="Arial" w:cs="Arial"/>
        </w:rPr>
        <w:t>prejavil</w:t>
      </w:r>
      <w:r>
        <w:rPr>
          <w:rFonts w:ascii="Arial" w:hAnsi="Arial" w:cs="Arial"/>
        </w:rPr>
        <w:t>o</w:t>
      </w:r>
      <w:r w:rsidRPr="00F8300F">
        <w:rPr>
          <w:rFonts w:ascii="Arial" w:hAnsi="Arial" w:cs="Arial"/>
        </w:rPr>
        <w:t xml:space="preserve"> </w:t>
      </w:r>
      <w:r>
        <w:rPr>
          <w:rFonts w:ascii="Arial" w:hAnsi="Arial" w:cs="Arial"/>
        </w:rPr>
        <w:t xml:space="preserve">len v polovici regiónov Slovenska, ale všetkých 8 regiónov evidovalo významnejšie úbytky v porovnaní s dlhodobým priemerom. Podľa predbežných údajov najvýraznejšie dlhodobé spomalenie o viac ako 30 % </w:t>
      </w:r>
      <w:r w:rsidRPr="00BF7E3E">
        <w:rPr>
          <w:rFonts w:ascii="Arial" w:hAnsi="Arial" w:cs="Arial"/>
        </w:rPr>
        <w:t>zaznamenali v T</w:t>
      </w:r>
      <w:r>
        <w:rPr>
          <w:rFonts w:ascii="Arial" w:hAnsi="Arial" w:cs="Arial"/>
        </w:rPr>
        <w:t>rnavskom a Nitrianskom kraji.</w:t>
      </w:r>
    </w:p>
    <w:p w14:paraId="548AE94B" w14:textId="6893B1D2" w:rsidR="003A663A" w:rsidRDefault="003A663A" w:rsidP="003A663A">
      <w:pPr>
        <w:spacing w:after="120"/>
        <w:ind w:firstLine="284"/>
        <w:rPr>
          <w:rFonts w:ascii="Arial" w:hAnsi="Arial" w:cs="Arial"/>
        </w:rPr>
      </w:pPr>
      <w:r w:rsidRPr="00AF55C6">
        <w:rPr>
          <w:rFonts w:ascii="Arial" w:hAnsi="Arial" w:cs="Arial"/>
        </w:rPr>
        <w:t xml:space="preserve">Ku koncu roka 2025 bolo na Slovensku </w:t>
      </w:r>
      <w:r w:rsidRPr="00AF55C6">
        <w:rPr>
          <w:rFonts w:ascii="Arial" w:hAnsi="Arial" w:cs="Arial"/>
          <w:b/>
          <w:bCs/>
        </w:rPr>
        <w:t>rozostavaných</w:t>
      </w:r>
      <w:r w:rsidRPr="00AF55C6">
        <w:rPr>
          <w:rFonts w:ascii="Arial" w:hAnsi="Arial" w:cs="Arial"/>
        </w:rPr>
        <w:t xml:space="preserve"> </w:t>
      </w:r>
      <w:r w:rsidRPr="00AF55C6">
        <w:rPr>
          <w:rFonts w:ascii="Arial" w:hAnsi="Arial" w:cs="Arial"/>
          <w:bCs/>
        </w:rPr>
        <w:t>77</w:t>
      </w:r>
      <w:r w:rsidR="00F4552F">
        <w:rPr>
          <w:rFonts w:ascii="Arial" w:hAnsi="Arial" w:cs="Arial"/>
          <w:bCs/>
        </w:rPr>
        <w:t xml:space="preserve"> 741</w:t>
      </w:r>
      <w:r w:rsidRPr="00AF55C6">
        <w:rPr>
          <w:rFonts w:ascii="Arial" w:hAnsi="Arial" w:cs="Arial"/>
          <w:bCs/>
        </w:rPr>
        <w:t xml:space="preserve"> bytových jednotiek,</w:t>
      </w:r>
      <w:r w:rsidRPr="00AF55C6">
        <w:rPr>
          <w:rFonts w:ascii="Arial" w:hAnsi="Arial" w:cs="Arial"/>
        </w:rPr>
        <w:t xml:space="preserve"> </w:t>
      </w:r>
      <w:r w:rsidRPr="00664DC1">
        <w:rPr>
          <w:rFonts w:ascii="Arial" w:hAnsi="Arial" w:cs="Arial"/>
        </w:rPr>
        <w:t>čo bolo o</w:t>
      </w:r>
      <w:r>
        <w:rPr>
          <w:rFonts w:ascii="Arial" w:hAnsi="Arial" w:cs="Arial"/>
        </w:rPr>
        <w:t> 0,8 </w:t>
      </w:r>
      <w:r w:rsidRPr="00664DC1">
        <w:rPr>
          <w:rFonts w:ascii="Arial" w:hAnsi="Arial" w:cs="Arial"/>
        </w:rPr>
        <w:t xml:space="preserve">% </w:t>
      </w:r>
      <w:r>
        <w:rPr>
          <w:rFonts w:ascii="Arial" w:hAnsi="Arial" w:cs="Arial"/>
        </w:rPr>
        <w:t>viac</w:t>
      </w:r>
      <w:r w:rsidRPr="00664DC1">
        <w:rPr>
          <w:rFonts w:ascii="Arial" w:hAnsi="Arial" w:cs="Arial"/>
        </w:rPr>
        <w:t xml:space="preserve"> ako na konci roka 202</w:t>
      </w:r>
      <w:r>
        <w:rPr>
          <w:rFonts w:ascii="Arial" w:hAnsi="Arial" w:cs="Arial"/>
        </w:rPr>
        <w:t>4 a súčasne to bolo o 2 </w:t>
      </w:r>
      <w:r w:rsidRPr="00664DC1">
        <w:rPr>
          <w:rFonts w:ascii="Arial" w:hAnsi="Arial" w:cs="Arial"/>
        </w:rPr>
        <w:t>% viac ako v desaťročnom priemere.</w:t>
      </w:r>
    </w:p>
    <w:p w14:paraId="42CD9CCE" w14:textId="77777777" w:rsidR="003A663A" w:rsidRDefault="003A663A" w:rsidP="009F4B5C">
      <w:pPr>
        <w:rPr>
          <w:rFonts w:ascii="Arial" w:hAnsi="Arial"/>
          <w:szCs w:val="22"/>
          <w:u w:val="single"/>
        </w:rPr>
      </w:pPr>
    </w:p>
    <w:p w14:paraId="61017367" w14:textId="5C8DB109" w:rsidR="00CE0513" w:rsidRPr="009D750F" w:rsidRDefault="00CE0513" w:rsidP="009F4B5C">
      <w:pPr>
        <w:rPr>
          <w:rFonts w:ascii="Arial" w:hAnsi="Arial"/>
          <w:szCs w:val="22"/>
          <w:u w:val="single"/>
        </w:rPr>
      </w:pPr>
      <w:r w:rsidRPr="009D750F">
        <w:rPr>
          <w:rFonts w:ascii="Arial" w:hAnsi="Arial"/>
          <w:szCs w:val="22"/>
          <w:u w:val="single"/>
        </w:rPr>
        <w:lastRenderedPageBreak/>
        <w:t>Dovoz a vývoz výrobkov a služieb</w:t>
      </w:r>
      <w:r w:rsidRPr="009D750F">
        <w:rPr>
          <w:rStyle w:val="Odkaznapoznmkupodiarou"/>
          <w:rFonts w:ascii="Arial" w:hAnsi="Arial"/>
        </w:rPr>
        <w:footnoteReference w:id="14"/>
      </w:r>
      <w:r w:rsidRPr="009D750F">
        <w:rPr>
          <w:rStyle w:val="Odkaznapoznmkupodiarou"/>
          <w:rFonts w:ascii="Arial" w:hAnsi="Arial"/>
        </w:rPr>
        <w:t>)</w:t>
      </w:r>
      <w:r w:rsidR="00DD479B">
        <w:rPr>
          <w:rFonts w:ascii="Arial" w:hAnsi="Arial"/>
          <w:szCs w:val="22"/>
        </w:rPr>
        <w:t xml:space="preserve"> </w:t>
      </w:r>
      <w:r w:rsidRPr="009D750F">
        <w:rPr>
          <w:rFonts w:ascii="Arial" w:hAnsi="Arial"/>
          <w:szCs w:val="22"/>
        </w:rPr>
        <w:t> </w:t>
      </w:r>
    </w:p>
    <w:p w14:paraId="0FB53247" w14:textId="0BB4B480" w:rsidR="00CE0513" w:rsidRPr="009D750F" w:rsidRDefault="00CE0513" w:rsidP="009F4B5C">
      <w:pPr>
        <w:pStyle w:val="BodyText21"/>
        <w:ind w:firstLine="0"/>
        <w:rPr>
          <w:rFonts w:ascii="Arial" w:hAnsi="Arial" w:cs="Arial"/>
          <w:sz w:val="20"/>
        </w:rPr>
      </w:pPr>
      <w:r w:rsidRPr="009D750F">
        <w:rPr>
          <w:rFonts w:ascii="Arial" w:hAnsi="Arial" w:cs="Arial"/>
          <w:sz w:val="20"/>
        </w:rPr>
        <w:t xml:space="preserve">(tab. </w:t>
      </w:r>
      <w:r w:rsidR="00CB648F">
        <w:rPr>
          <w:rFonts w:ascii="Arial" w:hAnsi="Arial" w:cs="Arial"/>
          <w:sz w:val="20"/>
        </w:rPr>
        <w:t>T</w:t>
      </w:r>
      <w:r w:rsidR="00D25A4A">
        <w:rPr>
          <w:rFonts w:ascii="Arial" w:hAnsi="Arial" w:cs="Arial"/>
          <w:sz w:val="20"/>
        </w:rPr>
        <w:t>3,</w:t>
      </w:r>
      <w:r w:rsidRPr="009D750F">
        <w:rPr>
          <w:rFonts w:ascii="Arial" w:hAnsi="Arial" w:cs="Arial"/>
          <w:sz w:val="20"/>
        </w:rPr>
        <w:t xml:space="preserve"> </w:t>
      </w:r>
      <w:r w:rsidR="00CB648F">
        <w:rPr>
          <w:rFonts w:ascii="Arial" w:hAnsi="Arial" w:cs="Arial"/>
          <w:sz w:val="20"/>
        </w:rPr>
        <w:t>T</w:t>
      </w:r>
      <w:r w:rsidR="00D25A4A">
        <w:rPr>
          <w:rFonts w:ascii="Arial" w:hAnsi="Arial" w:cs="Arial"/>
          <w:sz w:val="20"/>
        </w:rPr>
        <w:t>4</w:t>
      </w:r>
      <w:r w:rsidRPr="009D750F">
        <w:rPr>
          <w:rFonts w:ascii="Arial" w:hAnsi="Arial" w:cs="Arial"/>
          <w:sz w:val="20"/>
        </w:rPr>
        <w:t>)</w:t>
      </w:r>
      <w:r w:rsidR="00DD479B">
        <w:rPr>
          <w:rFonts w:ascii="Arial" w:hAnsi="Arial" w:cs="Arial"/>
          <w:sz w:val="20"/>
        </w:rPr>
        <w:t xml:space="preserve">  </w:t>
      </w:r>
    </w:p>
    <w:p w14:paraId="35568AEF" w14:textId="77777777" w:rsidR="00F029E2" w:rsidRPr="009D750F" w:rsidRDefault="00F029E2" w:rsidP="009F4B5C">
      <w:pPr>
        <w:tabs>
          <w:tab w:val="left" w:pos="426"/>
        </w:tabs>
        <w:rPr>
          <w:rFonts w:ascii="Arial" w:hAnsi="Arial"/>
          <w:sz w:val="14"/>
          <w:szCs w:val="14"/>
        </w:rPr>
      </w:pPr>
    </w:p>
    <w:p w14:paraId="2373E881" w14:textId="18E3A7E7" w:rsidR="00044DD7" w:rsidRPr="00E86372" w:rsidRDefault="007A3BA4" w:rsidP="00044DD7">
      <w:pPr>
        <w:tabs>
          <w:tab w:val="left" w:pos="426"/>
        </w:tabs>
        <w:ind w:firstLine="284"/>
        <w:rPr>
          <w:rFonts w:ascii="Arial" w:hAnsi="Arial" w:cs="Arial"/>
          <w:color w:val="FF0000"/>
        </w:rPr>
      </w:pPr>
      <w:r w:rsidRPr="00E86372">
        <w:rPr>
          <w:rFonts w:ascii="Arial" w:hAnsi="Arial" w:cs="Arial"/>
        </w:rPr>
        <w:t>Podľ</w:t>
      </w:r>
      <w:r>
        <w:rPr>
          <w:rFonts w:ascii="Arial" w:hAnsi="Arial" w:cs="Arial"/>
        </w:rPr>
        <w:t>a predbežných výsledkov bolo vo 4</w:t>
      </w:r>
      <w:r w:rsidRPr="00E86372">
        <w:rPr>
          <w:rFonts w:ascii="Arial" w:hAnsi="Arial" w:cs="Arial"/>
        </w:rPr>
        <w:t>. štvrťroku 202</w:t>
      </w:r>
      <w:r>
        <w:rPr>
          <w:rFonts w:ascii="Arial" w:hAnsi="Arial" w:cs="Arial"/>
        </w:rPr>
        <w:t>5</w:t>
      </w:r>
      <w:r w:rsidRPr="00E86372">
        <w:rPr>
          <w:rFonts w:ascii="Arial" w:hAnsi="Arial" w:cs="Arial"/>
        </w:rPr>
        <w:t xml:space="preserve"> </w:t>
      </w:r>
      <w:r w:rsidRPr="00E86372">
        <w:rPr>
          <w:rFonts w:ascii="Arial" w:hAnsi="Arial" w:cs="Arial"/>
          <w:b/>
          <w:i/>
        </w:rPr>
        <w:t xml:space="preserve">saldo </w:t>
      </w:r>
      <w:r w:rsidRPr="00E86372">
        <w:rPr>
          <w:rFonts w:ascii="Arial" w:hAnsi="Arial" w:cs="Arial"/>
          <w:b/>
          <w:bCs/>
          <w:i/>
          <w:iCs/>
        </w:rPr>
        <w:t>zahraničného obchodu výrobkov a služieb</w:t>
      </w:r>
      <w:r w:rsidRPr="00E86372">
        <w:rPr>
          <w:rFonts w:ascii="Arial" w:hAnsi="Arial" w:cs="Arial"/>
        </w:rPr>
        <w:t xml:space="preserve"> </w:t>
      </w:r>
      <w:r>
        <w:rPr>
          <w:rFonts w:ascii="Arial" w:hAnsi="Arial" w:cs="Arial"/>
        </w:rPr>
        <w:t>pasívne</w:t>
      </w:r>
      <w:r w:rsidRPr="00E86372">
        <w:rPr>
          <w:rFonts w:ascii="Arial" w:hAnsi="Arial" w:cs="Arial"/>
        </w:rPr>
        <w:t xml:space="preserve"> v ob</w:t>
      </w:r>
      <w:r w:rsidRPr="00E86372">
        <w:rPr>
          <w:rFonts w:ascii="Arial" w:hAnsi="Arial" w:cs="Arial"/>
        </w:rPr>
        <w:softHyphen/>
        <w:t xml:space="preserve">jeme </w:t>
      </w:r>
      <w:r>
        <w:rPr>
          <w:rFonts w:ascii="Arial" w:hAnsi="Arial" w:cs="Arial"/>
        </w:rPr>
        <w:t>406,8 mil</w:t>
      </w:r>
      <w:r w:rsidRPr="00E86372">
        <w:rPr>
          <w:rFonts w:ascii="Arial" w:hAnsi="Arial" w:cs="Arial"/>
        </w:rPr>
        <w:t xml:space="preserve">. eur. Jeho úroveň ovplyvnilo </w:t>
      </w:r>
      <w:r w:rsidRPr="007A3BA4">
        <w:rPr>
          <w:rFonts w:ascii="Arial" w:hAnsi="Arial" w:cs="Arial"/>
        </w:rPr>
        <w:t>pasívne</w:t>
      </w:r>
      <w:r w:rsidRPr="00E86372">
        <w:rPr>
          <w:rFonts w:ascii="Arial" w:hAnsi="Arial" w:cs="Arial"/>
        </w:rPr>
        <w:t xml:space="preserve"> saldo vývozu a dovozu výrobkov v</w:t>
      </w:r>
      <w:r>
        <w:rPr>
          <w:rFonts w:ascii="Arial" w:hAnsi="Arial" w:cs="Arial"/>
        </w:rPr>
        <w:t> </w:t>
      </w:r>
      <w:r w:rsidRPr="00E86372">
        <w:rPr>
          <w:rFonts w:ascii="Arial" w:hAnsi="Arial" w:cs="Arial"/>
        </w:rPr>
        <w:t>objeme</w:t>
      </w:r>
      <w:r>
        <w:rPr>
          <w:rFonts w:ascii="Arial" w:hAnsi="Arial" w:cs="Arial"/>
        </w:rPr>
        <w:t xml:space="preserve"> 389 mil. eur</w:t>
      </w:r>
      <w:r w:rsidRPr="00E86372">
        <w:rPr>
          <w:rFonts w:ascii="Arial" w:hAnsi="Arial" w:cs="Arial"/>
        </w:rPr>
        <w:t xml:space="preserve"> </w:t>
      </w:r>
      <w:r>
        <w:rPr>
          <w:rFonts w:ascii="Arial" w:hAnsi="Arial" w:cs="Arial"/>
        </w:rPr>
        <w:t>a s</w:t>
      </w:r>
      <w:r w:rsidRPr="00E86372">
        <w:rPr>
          <w:rFonts w:ascii="Arial" w:hAnsi="Arial" w:cs="Arial"/>
        </w:rPr>
        <w:t>aldo vývozu a dovozu služieb</w:t>
      </w:r>
      <w:r>
        <w:rPr>
          <w:rFonts w:ascii="Arial" w:hAnsi="Arial" w:cs="Arial"/>
        </w:rPr>
        <w:t>, ktoré</w:t>
      </w:r>
      <w:r w:rsidRPr="00E86372">
        <w:rPr>
          <w:rFonts w:ascii="Arial" w:hAnsi="Arial" w:cs="Arial"/>
        </w:rPr>
        <w:t xml:space="preserve"> bolo vo výške </w:t>
      </w:r>
      <w:r>
        <w:rPr>
          <w:rFonts w:ascii="Arial" w:hAnsi="Arial" w:cs="Arial"/>
        </w:rPr>
        <w:t>17,8 </w:t>
      </w:r>
      <w:r w:rsidRPr="00E86372">
        <w:rPr>
          <w:rFonts w:ascii="Arial" w:hAnsi="Arial" w:cs="Arial"/>
        </w:rPr>
        <w:t>mil. eur.</w:t>
      </w:r>
    </w:p>
    <w:p w14:paraId="58CB5213" w14:textId="77777777" w:rsidR="0040201D" w:rsidRPr="009D750F" w:rsidRDefault="0040201D" w:rsidP="00BA2FC4">
      <w:pPr>
        <w:tabs>
          <w:tab w:val="left" w:pos="426"/>
        </w:tabs>
        <w:ind w:firstLine="284"/>
        <w:rPr>
          <w:rFonts w:ascii="Arial" w:hAnsi="Arial" w:cs="Arial"/>
        </w:rPr>
      </w:pPr>
    </w:p>
    <w:p w14:paraId="142321B5" w14:textId="7C1A9E78" w:rsidR="00F029E2" w:rsidRPr="009D750F" w:rsidRDefault="00F029E2" w:rsidP="009F4B5C">
      <w:pPr>
        <w:tabs>
          <w:tab w:val="left" w:pos="426"/>
        </w:tabs>
        <w:rPr>
          <w:rFonts w:ascii="Arial" w:hAnsi="Arial"/>
        </w:rPr>
      </w:pPr>
      <w:r w:rsidRPr="009D750F">
        <w:rPr>
          <w:rFonts w:ascii="Arial" w:hAnsi="Arial"/>
          <w:b/>
          <w:caps/>
          <w:szCs w:val="22"/>
        </w:rPr>
        <w:t xml:space="preserve">2.3 </w:t>
      </w:r>
      <w:r w:rsidRPr="009D750F">
        <w:rPr>
          <w:rFonts w:ascii="Arial" w:hAnsi="Arial"/>
          <w:b/>
          <w:szCs w:val="22"/>
        </w:rPr>
        <w:t>Dôchodková metóda</w:t>
      </w:r>
      <w:r w:rsidRPr="009D750F">
        <w:rPr>
          <w:rStyle w:val="Odkaznapoznmkupodiarou"/>
          <w:rFonts w:ascii="Arial" w:hAnsi="Arial"/>
        </w:rPr>
        <w:footnoteReference w:id="15"/>
      </w:r>
      <w:r w:rsidRPr="009D750F">
        <w:rPr>
          <w:rStyle w:val="Odkaznapoznmkupodiarou"/>
          <w:rFonts w:ascii="Arial" w:hAnsi="Arial"/>
        </w:rPr>
        <w:t>)</w:t>
      </w:r>
    </w:p>
    <w:p w14:paraId="22D0E4B0" w14:textId="77777777" w:rsidR="00F029E2" w:rsidRPr="009D750F" w:rsidRDefault="00F029E2" w:rsidP="009F4B5C">
      <w:pPr>
        <w:tabs>
          <w:tab w:val="left" w:pos="426"/>
        </w:tabs>
        <w:rPr>
          <w:rFonts w:ascii="Arial" w:hAnsi="Arial"/>
          <w:sz w:val="14"/>
          <w:szCs w:val="14"/>
        </w:rPr>
      </w:pPr>
    </w:p>
    <w:p w14:paraId="0DF7A1B1" w14:textId="77777777" w:rsidR="00D37654" w:rsidRPr="00D37654" w:rsidRDefault="00D37654" w:rsidP="00D37654">
      <w:pPr>
        <w:ind w:firstLine="284"/>
        <w:rPr>
          <w:rFonts w:ascii="Arial" w:hAnsi="Arial" w:cs="Arial"/>
        </w:rPr>
      </w:pPr>
      <w:r w:rsidRPr="00D37654">
        <w:rPr>
          <w:rFonts w:ascii="Arial" w:hAnsi="Arial" w:cs="Arial"/>
        </w:rPr>
        <w:t>Z vytvoreného HDP tvorili odmeny zamest</w:t>
      </w:r>
      <w:r w:rsidRPr="00D37654">
        <w:rPr>
          <w:rFonts w:ascii="Arial" w:hAnsi="Arial" w:cs="Arial"/>
        </w:rPr>
        <w:softHyphen/>
        <w:t>nan</w:t>
      </w:r>
      <w:r w:rsidRPr="00D37654">
        <w:rPr>
          <w:rFonts w:ascii="Arial" w:hAnsi="Arial" w:cs="Arial"/>
        </w:rPr>
        <w:softHyphen/>
        <w:t>cov vo 4. štvrťroku 2025 </w:t>
      </w:r>
      <w:r w:rsidRPr="00D37654">
        <w:rPr>
          <w:rStyle w:val="Odkaznapoznmkupodiarou"/>
          <w:rFonts w:ascii="Arial" w:hAnsi="Arial" w:cs="Arial"/>
          <w:spacing w:val="2"/>
          <w:szCs w:val="16"/>
        </w:rPr>
        <w:footnoteReference w:id="16"/>
      </w:r>
      <w:r w:rsidRPr="00D37654">
        <w:rPr>
          <w:rStyle w:val="Odkaznapoznmkupodiarou"/>
          <w:rFonts w:ascii="Arial" w:hAnsi="Arial" w:cs="Arial"/>
          <w:spacing w:val="2"/>
          <w:szCs w:val="16"/>
        </w:rPr>
        <w:t>)</w:t>
      </w:r>
      <w:r w:rsidRPr="00D37654">
        <w:rPr>
          <w:rFonts w:ascii="Arial" w:hAnsi="Arial" w:cs="Arial"/>
          <w:spacing w:val="2"/>
          <w:szCs w:val="16"/>
        </w:rPr>
        <w:t> 16,1</w:t>
      </w:r>
      <w:r w:rsidRPr="00D37654">
        <w:rPr>
          <w:rFonts w:ascii="Arial" w:hAnsi="Arial" w:cs="Arial"/>
        </w:rPr>
        <w:t> mld. eur. V porovnaní so 4. štvrťrokom 2024 vzrástol ich objem o 6,1 %. Hrubý prevádzkový prebytok a zmiešané dôchodky v hod</w:t>
      </w:r>
      <w:r w:rsidRPr="00D37654">
        <w:rPr>
          <w:rFonts w:ascii="Arial" w:hAnsi="Arial" w:cs="Arial"/>
        </w:rPr>
        <w:softHyphen/>
        <w:t xml:space="preserve">note 15,9 mld. eur vzrástli </w:t>
      </w:r>
      <w:r w:rsidRPr="00D37654">
        <w:rPr>
          <w:rFonts w:ascii="Arial" w:hAnsi="Arial" w:cs="Arial"/>
          <w:spacing w:val="-2"/>
        </w:rPr>
        <w:t>o 3,6</w:t>
      </w:r>
      <w:r w:rsidRPr="00D37654">
        <w:rPr>
          <w:rFonts w:ascii="Arial" w:hAnsi="Arial" w:cs="Arial"/>
        </w:rPr>
        <w:t> </w:t>
      </w:r>
      <w:r w:rsidRPr="00D37654">
        <w:rPr>
          <w:rFonts w:ascii="Arial" w:hAnsi="Arial" w:cs="Arial"/>
          <w:spacing w:val="-2"/>
        </w:rPr>
        <w:t>%. Objem vybraných daní z produkcie</w:t>
      </w:r>
      <w:r w:rsidRPr="00D37654">
        <w:rPr>
          <w:rFonts w:ascii="Arial" w:hAnsi="Arial" w:cs="Arial"/>
        </w:rPr>
        <w:t xml:space="preserve"> a dovozu sa zvýšil o 6,3 % na 4,5 mld. </w:t>
      </w:r>
      <w:r w:rsidRPr="00D37654">
        <w:rPr>
          <w:rFonts w:ascii="Arial" w:hAnsi="Arial" w:cs="Arial"/>
          <w:spacing w:val="-10"/>
        </w:rPr>
        <w:t xml:space="preserve">eur. </w:t>
      </w:r>
      <w:r w:rsidRPr="00D37654">
        <w:rPr>
          <w:rFonts w:ascii="Arial" w:hAnsi="Arial" w:cs="Arial"/>
          <w:spacing w:val="-4"/>
        </w:rPr>
        <w:t>Hodnota subvencií klesla o 28,6</w:t>
      </w:r>
      <w:r w:rsidRPr="00D37654">
        <w:rPr>
          <w:rFonts w:ascii="Arial" w:hAnsi="Arial" w:cs="Arial"/>
        </w:rPr>
        <w:t> </w:t>
      </w:r>
      <w:r w:rsidRPr="00D37654">
        <w:rPr>
          <w:rFonts w:ascii="Arial" w:hAnsi="Arial" w:cs="Arial"/>
          <w:spacing w:val="-4"/>
        </w:rPr>
        <w:t>%</w:t>
      </w:r>
      <w:r w:rsidRPr="00D37654">
        <w:rPr>
          <w:rFonts w:ascii="Arial" w:hAnsi="Arial" w:cs="Arial"/>
        </w:rPr>
        <w:t xml:space="preserve"> a dosiahla 0,6 mld. eur.</w:t>
      </w:r>
    </w:p>
    <w:p w14:paraId="7002A8D6" w14:textId="77777777" w:rsidR="00D37654" w:rsidRPr="00D37654" w:rsidRDefault="00D37654" w:rsidP="00D37654">
      <w:pPr>
        <w:rPr>
          <w:rFonts w:ascii="Arial" w:hAnsi="Arial" w:cs="Arial"/>
          <w:sz w:val="10"/>
          <w:szCs w:val="10"/>
        </w:rPr>
      </w:pPr>
    </w:p>
    <w:p w14:paraId="608CF022" w14:textId="31141A05" w:rsidR="00044DD7" w:rsidRDefault="00D37654" w:rsidP="00D37654">
      <w:pPr>
        <w:ind w:firstLine="284"/>
        <w:rPr>
          <w:rFonts w:ascii="Arial" w:hAnsi="Arial" w:cs="Arial"/>
        </w:rPr>
      </w:pPr>
      <w:r w:rsidRPr="00D37654">
        <w:rPr>
          <w:rFonts w:ascii="Arial" w:hAnsi="Arial" w:cs="Arial"/>
        </w:rPr>
        <w:t>Odmeny tvorili najväčší podiel na tvorbe HDP (44,9 %), oproti 4. štvrťroku 2024 boli vyššie o 0,1 p. b. Podiel hrubého prevádzkového prebytku a zmiešaných dôchodkov klesol o 1</w:t>
      </w:r>
      <w:r w:rsidRPr="00D37654">
        <w:rPr>
          <w:rFonts w:ascii="Arial" w:hAnsi="Arial" w:cs="Arial"/>
          <w:spacing w:val="-2"/>
        </w:rPr>
        <w:t> p. b. na 44,4</w:t>
      </w:r>
      <w:r w:rsidRPr="00D37654">
        <w:rPr>
          <w:rFonts w:ascii="Arial" w:hAnsi="Arial" w:cs="Arial"/>
        </w:rPr>
        <w:t> %. Podiel vybraných daní z produkcie a dovozu zostal na rovnakej medziročnej úrovni (12,4 %). P</w:t>
      </w:r>
      <w:r w:rsidRPr="00D37654">
        <w:rPr>
          <w:rFonts w:ascii="Arial" w:hAnsi="Arial" w:cs="Arial"/>
          <w:spacing w:val="6"/>
        </w:rPr>
        <w:t>odiel sub</w:t>
      </w:r>
      <w:r w:rsidRPr="00D37654">
        <w:rPr>
          <w:rFonts w:ascii="Arial" w:hAnsi="Arial" w:cs="Arial"/>
        </w:rPr>
        <w:t>vencií sa znížil o 0,8 p. b. na 1,8 %.</w:t>
      </w:r>
    </w:p>
    <w:p w14:paraId="55880EDF" w14:textId="77777777" w:rsidR="004F5941" w:rsidRDefault="004F5941" w:rsidP="009F4B5C">
      <w:pPr>
        <w:tabs>
          <w:tab w:val="left" w:pos="426"/>
        </w:tabs>
        <w:rPr>
          <w:rFonts w:ascii="Arial" w:hAnsi="Arial"/>
          <w:b/>
          <w:caps/>
          <w:szCs w:val="22"/>
        </w:rPr>
      </w:pPr>
    </w:p>
    <w:p w14:paraId="1D75A211" w14:textId="19A43A75" w:rsidR="00A55BAC" w:rsidRPr="009D750F" w:rsidRDefault="00A55BAC" w:rsidP="009F4B5C">
      <w:pPr>
        <w:tabs>
          <w:tab w:val="left" w:pos="426"/>
        </w:tabs>
        <w:rPr>
          <w:rFonts w:ascii="Arial" w:hAnsi="Arial"/>
          <w:szCs w:val="22"/>
          <w:u w:val="single"/>
        </w:rPr>
      </w:pPr>
      <w:r w:rsidRPr="009D750F">
        <w:rPr>
          <w:rFonts w:ascii="Arial" w:hAnsi="Arial"/>
          <w:b/>
          <w:caps/>
          <w:szCs w:val="22"/>
        </w:rPr>
        <w:t xml:space="preserve">2.4 </w:t>
      </w:r>
      <w:r w:rsidRPr="009D750F">
        <w:rPr>
          <w:rFonts w:ascii="Arial" w:hAnsi="Arial"/>
          <w:b/>
          <w:szCs w:val="22"/>
        </w:rPr>
        <w:t>Vybrané makroekonomické ukazovatele</w:t>
      </w:r>
      <w:r w:rsidR="00DD479B">
        <w:rPr>
          <w:rFonts w:ascii="Arial" w:hAnsi="Arial"/>
          <w:b/>
          <w:szCs w:val="22"/>
        </w:rPr>
        <w:t xml:space="preserve"> </w:t>
      </w:r>
    </w:p>
    <w:p w14:paraId="44D72F75" w14:textId="77777777" w:rsidR="00A55BAC" w:rsidRPr="009D750F" w:rsidRDefault="00A55BAC" w:rsidP="009F4B5C">
      <w:pPr>
        <w:tabs>
          <w:tab w:val="left" w:pos="426"/>
        </w:tabs>
        <w:rPr>
          <w:rFonts w:ascii="Arial" w:hAnsi="Arial" w:cs="Arial"/>
          <w:sz w:val="14"/>
          <w:szCs w:val="14"/>
          <w:u w:val="single"/>
        </w:rPr>
      </w:pPr>
    </w:p>
    <w:p w14:paraId="0E4467B6" w14:textId="45C509BE" w:rsidR="00F029E2" w:rsidRPr="009D750F" w:rsidRDefault="00F029E2" w:rsidP="009F4B5C">
      <w:pPr>
        <w:pStyle w:val="Nadpis9"/>
        <w:tabs>
          <w:tab w:val="left" w:pos="426"/>
        </w:tabs>
        <w:rPr>
          <w:rFonts w:ascii="Arial" w:hAnsi="Arial"/>
          <w:b/>
        </w:rPr>
      </w:pPr>
      <w:r w:rsidRPr="009D750F">
        <w:rPr>
          <w:rFonts w:ascii="Arial" w:hAnsi="Arial"/>
          <w:sz w:val="22"/>
          <w:szCs w:val="22"/>
        </w:rPr>
        <w:t>Sektor domácností</w:t>
      </w:r>
      <w:r w:rsidRPr="009D750F">
        <w:rPr>
          <w:rStyle w:val="Odkaznapoznmkupodiarou"/>
          <w:rFonts w:ascii="Arial" w:hAnsi="Arial"/>
          <w:u w:val="none"/>
        </w:rPr>
        <w:footnoteReference w:id="17"/>
      </w:r>
      <w:r w:rsidRPr="009D750F">
        <w:rPr>
          <w:rStyle w:val="Odkaznapoznmkupodiarou"/>
          <w:rFonts w:ascii="Arial" w:hAnsi="Arial"/>
          <w:u w:val="none"/>
        </w:rPr>
        <w:t>)</w:t>
      </w:r>
    </w:p>
    <w:p w14:paraId="714B5A2D" w14:textId="1EAD93CB" w:rsidR="00F029E2" w:rsidRPr="009D750F" w:rsidRDefault="00F029E2" w:rsidP="009F4B5C">
      <w:pPr>
        <w:tabs>
          <w:tab w:val="left" w:pos="426"/>
        </w:tabs>
        <w:rPr>
          <w:rFonts w:ascii="Arial" w:hAnsi="Arial"/>
          <w:sz w:val="20"/>
        </w:rPr>
      </w:pPr>
      <w:r w:rsidRPr="009D750F">
        <w:rPr>
          <w:rFonts w:ascii="Arial" w:hAnsi="Arial"/>
          <w:sz w:val="20"/>
        </w:rPr>
        <w:t xml:space="preserve">(tab. </w:t>
      </w:r>
      <w:r w:rsidR="00CB648F">
        <w:rPr>
          <w:rFonts w:ascii="Arial" w:hAnsi="Arial"/>
          <w:sz w:val="20"/>
        </w:rPr>
        <w:t>T</w:t>
      </w:r>
      <w:r w:rsidRPr="009D750F">
        <w:rPr>
          <w:rFonts w:ascii="Arial" w:hAnsi="Arial"/>
          <w:sz w:val="20"/>
        </w:rPr>
        <w:t>1</w:t>
      </w:r>
      <w:r w:rsidR="00FC5BFB">
        <w:rPr>
          <w:rFonts w:ascii="Arial" w:hAnsi="Arial"/>
          <w:sz w:val="20"/>
        </w:rPr>
        <w:t>4</w:t>
      </w:r>
      <w:r w:rsidRPr="009D750F">
        <w:rPr>
          <w:rFonts w:ascii="Arial" w:hAnsi="Arial"/>
          <w:sz w:val="20"/>
        </w:rPr>
        <w:t>)</w:t>
      </w:r>
    </w:p>
    <w:p w14:paraId="72CF5EDD" w14:textId="77777777" w:rsidR="00F029E2" w:rsidRPr="009D750F" w:rsidRDefault="00F029E2" w:rsidP="009F4B5C">
      <w:pPr>
        <w:tabs>
          <w:tab w:val="left" w:pos="426"/>
        </w:tabs>
        <w:rPr>
          <w:rFonts w:ascii="Arial" w:hAnsi="Arial"/>
          <w:sz w:val="12"/>
          <w:szCs w:val="12"/>
        </w:rPr>
      </w:pPr>
    </w:p>
    <w:p w14:paraId="6F0F1317" w14:textId="186AF9E2" w:rsidR="00D37654" w:rsidRPr="00D37654" w:rsidRDefault="00D37654" w:rsidP="00D37654">
      <w:pPr>
        <w:spacing w:after="120"/>
        <w:ind w:firstLine="284"/>
        <w:rPr>
          <w:rFonts w:ascii="Arial" w:hAnsi="Arial" w:cs="Arial"/>
        </w:rPr>
      </w:pPr>
      <w:r w:rsidRPr="00FA3A85">
        <w:rPr>
          <w:rFonts w:ascii="Arial" w:hAnsi="Arial" w:cs="Arial"/>
          <w:b/>
        </w:rPr>
        <w:t>Bežné príjmy domácností</w:t>
      </w:r>
      <w:r w:rsidRPr="00FA3A85">
        <w:rPr>
          <w:rFonts w:ascii="Arial" w:hAnsi="Arial" w:cs="Arial"/>
        </w:rPr>
        <w:t xml:space="preserve"> dosiahli vo 4.</w:t>
      </w:r>
      <w:r w:rsidR="00521A6A">
        <w:rPr>
          <w:rFonts w:ascii="Arial" w:hAnsi="Arial" w:cs="Arial"/>
        </w:rPr>
        <w:t> </w:t>
      </w:r>
      <w:r w:rsidRPr="00FA3A85">
        <w:rPr>
          <w:rFonts w:ascii="Arial" w:hAnsi="Arial" w:cs="Arial"/>
        </w:rPr>
        <w:t>štvrťroku 2025 objem takmer 33,3</w:t>
      </w:r>
      <w:r w:rsidR="00521A6A">
        <w:rPr>
          <w:rFonts w:ascii="Arial" w:hAnsi="Arial" w:cs="Arial"/>
        </w:rPr>
        <w:t> </w:t>
      </w:r>
      <w:r w:rsidRPr="00FA3A85">
        <w:rPr>
          <w:rFonts w:ascii="Arial" w:hAnsi="Arial" w:cs="Arial"/>
        </w:rPr>
        <w:t xml:space="preserve">mld. eur. Medziročne vzrástli o 3,3 %. Vývoj ovplyvnil rast odmien zamestnancov o 6,2 % a nárast hrubého prevádzkového </w:t>
      </w:r>
      <w:r w:rsidRPr="00D37654">
        <w:rPr>
          <w:rFonts w:ascii="Arial" w:hAnsi="Arial" w:cs="Arial"/>
        </w:rPr>
        <w:t xml:space="preserve">prebytku a hrubých zmiešaných dôchodkov o 5,4 %. Dôchodky z majetku klesli o 26,3 %, sociálne dávky zostali na rovnakej úrovni ako minulý rok a ostatné bežné transfery klesli o 2,8 %. Hlavným zdrojom príjmov domácností boli odmeny zamestnancov, ktoré tvorili na celkových príjmoch podiel 50 %. </w:t>
      </w:r>
      <w:r w:rsidRPr="00D37654">
        <w:rPr>
          <w:rFonts w:ascii="Arial" w:hAnsi="Arial" w:cs="Arial"/>
          <w:b/>
        </w:rPr>
        <w:t>Bežné výdavky domácností</w:t>
      </w:r>
      <w:r w:rsidRPr="00D37654">
        <w:rPr>
          <w:rFonts w:ascii="Arial" w:hAnsi="Arial" w:cs="Arial"/>
        </w:rPr>
        <w:t xml:space="preserve"> dosiahli necelých 10,8 mld. eur. Medziročne nominálne vzrástli o 3,9 %.  </w:t>
      </w:r>
    </w:p>
    <w:p w14:paraId="305C42EE" w14:textId="5AA9D74A" w:rsidR="00D37654" w:rsidRPr="00FA3A85" w:rsidRDefault="00D37654" w:rsidP="00D37654">
      <w:pPr>
        <w:spacing w:after="120"/>
        <w:ind w:firstLine="284"/>
        <w:rPr>
          <w:rFonts w:ascii="Arial" w:hAnsi="Arial" w:cs="Arial"/>
        </w:rPr>
      </w:pPr>
      <w:r w:rsidRPr="00D37654">
        <w:rPr>
          <w:rFonts w:ascii="Arial" w:hAnsi="Arial" w:cs="Arial"/>
        </w:rPr>
        <w:t>Domácnostiam zostal na ďalšie použitie hrubý disponibilný dôchodok v objeme 22,5</w:t>
      </w:r>
      <w:r w:rsidR="00521A6A">
        <w:rPr>
          <w:rFonts w:ascii="Arial" w:hAnsi="Arial" w:cs="Arial"/>
        </w:rPr>
        <w:t> </w:t>
      </w:r>
      <w:r w:rsidRPr="00D37654">
        <w:rPr>
          <w:rFonts w:ascii="Arial" w:hAnsi="Arial" w:cs="Arial"/>
        </w:rPr>
        <w:t>mld. eur. Oproti 4.</w:t>
      </w:r>
      <w:r w:rsidR="00521A6A">
        <w:rPr>
          <w:rFonts w:ascii="Arial" w:hAnsi="Arial" w:cs="Arial"/>
        </w:rPr>
        <w:t> </w:t>
      </w:r>
      <w:r w:rsidRPr="00D37654">
        <w:rPr>
          <w:rFonts w:ascii="Arial" w:hAnsi="Arial" w:cs="Arial"/>
        </w:rPr>
        <w:t>štvrťroku 2024 vzrástol o</w:t>
      </w:r>
      <w:r w:rsidR="00521A6A">
        <w:rPr>
          <w:rFonts w:ascii="Arial" w:hAnsi="Arial" w:cs="Arial"/>
        </w:rPr>
        <w:t> </w:t>
      </w:r>
      <w:r w:rsidRPr="00D37654">
        <w:rPr>
          <w:rFonts w:ascii="Arial" w:hAnsi="Arial" w:cs="Arial"/>
        </w:rPr>
        <w:t>3</w:t>
      </w:r>
      <w:r w:rsidR="00521A6A">
        <w:rPr>
          <w:rFonts w:ascii="Arial" w:hAnsi="Arial" w:cs="Arial"/>
        </w:rPr>
        <w:t> </w:t>
      </w:r>
      <w:r w:rsidRPr="00D37654">
        <w:rPr>
          <w:rFonts w:ascii="Arial" w:hAnsi="Arial" w:cs="Arial"/>
        </w:rPr>
        <w:t>% (reálne klesol o 0,8 %). Úpravy vyplývajúce zo zmeny nároku na dôchodok dosiahli hodnotu 447,1</w:t>
      </w:r>
      <w:r w:rsidR="00521A6A">
        <w:rPr>
          <w:rFonts w:ascii="Arial" w:hAnsi="Arial" w:cs="Arial"/>
        </w:rPr>
        <w:t> </w:t>
      </w:r>
      <w:r w:rsidRPr="00D37654">
        <w:rPr>
          <w:rFonts w:ascii="Arial" w:hAnsi="Arial" w:cs="Arial"/>
        </w:rPr>
        <w:t>mil. eur. Z disponibilného dôchodku použili domácnosti na konečnú spotrebu 89 %. Zvyšok tvorili hrubé úspory, ktoré medziročne zaznamenali nárast o 7,8 %. Miera úspor</w:t>
      </w:r>
      <w:r w:rsidRPr="00FA3A85">
        <w:rPr>
          <w:rFonts w:ascii="Arial" w:hAnsi="Arial" w:cs="Arial"/>
        </w:rPr>
        <w:t xml:space="preserve"> vo 4. štvrťroku 2025 dosiahla 13</w:t>
      </w:r>
      <w:r w:rsidR="00521A6A">
        <w:rPr>
          <w:rFonts w:ascii="Arial" w:hAnsi="Arial" w:cs="Arial"/>
        </w:rPr>
        <w:t> </w:t>
      </w:r>
      <w:r w:rsidRPr="00FA3A85">
        <w:rPr>
          <w:rFonts w:ascii="Arial" w:hAnsi="Arial" w:cs="Arial"/>
        </w:rPr>
        <w:t>%.</w:t>
      </w:r>
    </w:p>
    <w:p w14:paraId="0CB0F04B" w14:textId="5E807BC0" w:rsidR="00C91D6E" w:rsidRPr="00C91D6E" w:rsidRDefault="00D37654" w:rsidP="00D37654">
      <w:pPr>
        <w:spacing w:after="120"/>
        <w:ind w:firstLine="284"/>
        <w:rPr>
          <w:rFonts w:ascii="Arial" w:hAnsi="Arial" w:cs="Arial"/>
        </w:rPr>
      </w:pPr>
      <w:r w:rsidRPr="00FA3A85">
        <w:rPr>
          <w:rFonts w:ascii="Arial" w:hAnsi="Arial" w:cs="Arial"/>
          <w:b/>
        </w:rPr>
        <w:t>V súhrne za rok 2025</w:t>
      </w:r>
      <w:r w:rsidRPr="00FA3A85">
        <w:rPr>
          <w:rFonts w:ascii="Arial" w:hAnsi="Arial" w:cs="Arial"/>
        </w:rPr>
        <w:t xml:space="preserve"> v medziročnom porovnaní vzrástli bežné príjmy domácností o 3,2 % a bežné výdavky domácností o 3,7 %.</w:t>
      </w:r>
    </w:p>
    <w:p w14:paraId="19A5BBE3" w14:textId="77777777" w:rsidR="00BB0A29" w:rsidRDefault="00BB0A29" w:rsidP="009F4B5C">
      <w:pPr>
        <w:tabs>
          <w:tab w:val="left" w:pos="426"/>
        </w:tabs>
        <w:rPr>
          <w:rFonts w:ascii="Arial" w:hAnsi="Arial"/>
          <w:color w:val="2E74B5" w:themeColor="accent1" w:themeShade="BF"/>
          <w:sz w:val="16"/>
          <w:szCs w:val="16"/>
          <w:u w:val="single"/>
        </w:rPr>
      </w:pPr>
    </w:p>
    <w:p w14:paraId="2DFD19E4" w14:textId="38812E76" w:rsidR="00A55BAC" w:rsidRPr="00C64C13" w:rsidRDefault="00A55BAC" w:rsidP="009F4B5C">
      <w:pPr>
        <w:tabs>
          <w:tab w:val="left" w:pos="426"/>
        </w:tabs>
        <w:rPr>
          <w:rFonts w:ascii="Arial" w:hAnsi="Arial"/>
          <w:b/>
          <w:sz w:val="20"/>
          <w:u w:val="single"/>
        </w:rPr>
      </w:pPr>
      <w:r w:rsidRPr="00C64C13">
        <w:rPr>
          <w:rFonts w:ascii="Arial" w:hAnsi="Arial"/>
          <w:szCs w:val="22"/>
          <w:u w:val="single"/>
        </w:rPr>
        <w:t>Vonkajšie obchodné vzťahy</w:t>
      </w:r>
      <w:r w:rsidRPr="00C64C13">
        <w:rPr>
          <w:rStyle w:val="Odkaznapoznmkupodiarou"/>
          <w:rFonts w:ascii="Arial" w:hAnsi="Arial"/>
        </w:rPr>
        <w:footnoteReference w:id="18"/>
      </w:r>
      <w:r w:rsidRPr="00C64C13">
        <w:rPr>
          <w:rStyle w:val="Odkaznapoznmkupodiarou"/>
          <w:rFonts w:ascii="Arial" w:hAnsi="Arial"/>
        </w:rPr>
        <w:t>)</w:t>
      </w:r>
      <w:r w:rsidR="00DD479B">
        <w:rPr>
          <w:rFonts w:ascii="Arial" w:hAnsi="Arial"/>
          <w:sz w:val="21"/>
        </w:rPr>
        <w:t xml:space="preserve"> </w:t>
      </w:r>
    </w:p>
    <w:p w14:paraId="61D7140C" w14:textId="685E5994" w:rsidR="00A55BAC" w:rsidRPr="00C64C13" w:rsidRDefault="00A55BAC" w:rsidP="00C210EE">
      <w:pPr>
        <w:pStyle w:val="BodyText212"/>
        <w:tabs>
          <w:tab w:val="left" w:pos="426"/>
        </w:tabs>
        <w:spacing w:after="120"/>
      </w:pPr>
      <w:r w:rsidRPr="00C64C13">
        <w:t xml:space="preserve">(tab. </w:t>
      </w:r>
      <w:r w:rsidR="00CB648F" w:rsidRPr="00C64C13">
        <w:t>T</w:t>
      </w:r>
      <w:r w:rsidRPr="00C64C13">
        <w:t xml:space="preserve">1, </w:t>
      </w:r>
      <w:r w:rsidR="00CB648F" w:rsidRPr="00C64C13">
        <w:t>T</w:t>
      </w:r>
      <w:r w:rsidRPr="00C64C13">
        <w:t xml:space="preserve">2, </w:t>
      </w:r>
      <w:r w:rsidR="00CB648F" w:rsidRPr="00C64C13">
        <w:t>T</w:t>
      </w:r>
      <w:r w:rsidRPr="00C64C13">
        <w:t>1</w:t>
      </w:r>
      <w:r w:rsidR="002136E4">
        <w:t>3</w:t>
      </w:r>
      <w:r w:rsidRPr="00C64C13">
        <w:t>)</w:t>
      </w:r>
      <w:r w:rsidR="00DD479B">
        <w:t xml:space="preserve">  </w:t>
      </w:r>
    </w:p>
    <w:p w14:paraId="381569CD" w14:textId="2D05A88E" w:rsidR="00615FBE" w:rsidRPr="00615FBE" w:rsidRDefault="00D15474" w:rsidP="00615FBE">
      <w:pPr>
        <w:spacing w:after="100"/>
        <w:ind w:firstLine="284"/>
        <w:rPr>
          <w:rFonts w:ascii="Arial" w:hAnsi="Arial" w:cs="Arial"/>
        </w:rPr>
      </w:pPr>
      <w:r w:rsidRPr="00C20CC3">
        <w:rPr>
          <w:rFonts w:ascii="Arial" w:hAnsi="Arial" w:cs="Arial"/>
        </w:rPr>
        <w:t xml:space="preserve">Hodnota </w:t>
      </w:r>
      <w:r w:rsidRPr="00B82729">
        <w:rPr>
          <w:rFonts w:ascii="Arial" w:hAnsi="Arial" w:cs="Arial"/>
          <w:b/>
          <w:bCs/>
        </w:rPr>
        <w:t>vývozu a dovozu</w:t>
      </w:r>
      <w:r w:rsidRPr="00C20CC3">
        <w:rPr>
          <w:rStyle w:val="Odkaznapoznmkupodiarou"/>
          <w:rFonts w:ascii="Arial" w:hAnsi="Arial" w:cs="Arial"/>
        </w:rPr>
        <w:footnoteReference w:id="19"/>
      </w:r>
      <w:r w:rsidRPr="00C20CC3">
        <w:rPr>
          <w:rFonts w:ascii="Arial" w:hAnsi="Arial" w:cs="Arial"/>
          <w:vertAlign w:val="superscript"/>
        </w:rPr>
        <w:t>)</w:t>
      </w:r>
      <w:r w:rsidRPr="00C20CC3">
        <w:rPr>
          <w:rFonts w:ascii="Arial" w:hAnsi="Arial" w:cs="Arial"/>
        </w:rPr>
        <w:t xml:space="preserve"> </w:t>
      </w:r>
      <w:r w:rsidR="0040379C" w:rsidRPr="0040379C">
        <w:rPr>
          <w:rFonts w:ascii="Arial" w:hAnsi="Arial" w:cs="Arial"/>
        </w:rPr>
        <w:t>vo 4.</w:t>
      </w:r>
      <w:r w:rsidR="0040379C">
        <w:rPr>
          <w:rFonts w:ascii="Arial" w:hAnsi="Arial" w:cs="Arial"/>
        </w:rPr>
        <w:t> </w:t>
      </w:r>
      <w:r w:rsidR="0040379C" w:rsidRPr="0040379C">
        <w:rPr>
          <w:rFonts w:ascii="Arial" w:hAnsi="Arial" w:cs="Arial"/>
        </w:rPr>
        <w:t>štvrťroku 2025 oproti rovnakému obdobiu 2024 medziročne stúpla. Obchodná bilancia uzatvorila štvrtý kvartál s prebytkom 0,8</w:t>
      </w:r>
      <w:r w:rsidR="0040379C">
        <w:rPr>
          <w:rFonts w:ascii="Arial" w:hAnsi="Arial" w:cs="Arial"/>
        </w:rPr>
        <w:t> </w:t>
      </w:r>
      <w:r w:rsidR="0040379C" w:rsidRPr="0040379C">
        <w:rPr>
          <w:rFonts w:ascii="Arial" w:hAnsi="Arial" w:cs="Arial"/>
        </w:rPr>
        <w:t>mld. eur.</w:t>
      </w:r>
    </w:p>
    <w:p w14:paraId="28889D3D" w14:textId="787F047A" w:rsidR="00615FBE" w:rsidRPr="00615FBE" w:rsidRDefault="0040379C" w:rsidP="00615FBE">
      <w:pPr>
        <w:spacing w:after="100"/>
        <w:ind w:firstLine="284"/>
        <w:rPr>
          <w:rFonts w:ascii="Arial" w:hAnsi="Arial" w:cs="Arial"/>
        </w:rPr>
      </w:pPr>
      <w:r w:rsidRPr="0040379C">
        <w:rPr>
          <w:rFonts w:ascii="Arial" w:hAnsi="Arial" w:cs="Arial"/>
        </w:rPr>
        <w:lastRenderedPageBreak/>
        <w:t>Zo Slovenska sa vo 4.</w:t>
      </w:r>
      <w:r>
        <w:rPr>
          <w:rFonts w:ascii="Arial" w:hAnsi="Arial" w:cs="Arial"/>
        </w:rPr>
        <w:t> </w:t>
      </w:r>
      <w:r w:rsidRPr="0040379C">
        <w:rPr>
          <w:rFonts w:ascii="Arial" w:hAnsi="Arial" w:cs="Arial"/>
        </w:rPr>
        <w:t>štvrťroku vyviezol tovar v hodnote 29</w:t>
      </w:r>
      <w:r>
        <w:rPr>
          <w:rFonts w:ascii="Arial" w:hAnsi="Arial" w:cs="Arial"/>
        </w:rPr>
        <w:t> </w:t>
      </w:r>
      <w:r w:rsidRPr="0040379C">
        <w:rPr>
          <w:rFonts w:ascii="Arial" w:hAnsi="Arial" w:cs="Arial"/>
        </w:rPr>
        <w:t>mld. eur, čo bol 3,6</w:t>
      </w:r>
      <w:r>
        <w:rPr>
          <w:rFonts w:ascii="Arial" w:hAnsi="Arial" w:cs="Arial"/>
        </w:rPr>
        <w:t> </w:t>
      </w:r>
      <w:r w:rsidRPr="0040379C">
        <w:rPr>
          <w:rFonts w:ascii="Arial" w:hAnsi="Arial" w:cs="Arial"/>
        </w:rPr>
        <w:t>% nárast oproti rovnakému obdobiu roku 2024. Dovoz tovaru sa medziročne zvýšil o</w:t>
      </w:r>
      <w:r>
        <w:rPr>
          <w:rFonts w:ascii="Arial" w:hAnsi="Arial" w:cs="Arial"/>
        </w:rPr>
        <w:t> </w:t>
      </w:r>
      <w:r w:rsidRPr="0040379C">
        <w:rPr>
          <w:rFonts w:ascii="Arial" w:hAnsi="Arial" w:cs="Arial"/>
        </w:rPr>
        <w:t>0,6</w:t>
      </w:r>
      <w:r>
        <w:rPr>
          <w:rFonts w:ascii="Arial" w:hAnsi="Arial" w:cs="Arial"/>
        </w:rPr>
        <w:t> </w:t>
      </w:r>
      <w:r w:rsidRPr="0040379C">
        <w:rPr>
          <w:rFonts w:ascii="Arial" w:hAnsi="Arial" w:cs="Arial"/>
        </w:rPr>
        <w:t>% a dosiahol hodnotu 28,3</w:t>
      </w:r>
      <w:r>
        <w:rPr>
          <w:rFonts w:ascii="Arial" w:hAnsi="Arial" w:cs="Arial"/>
        </w:rPr>
        <w:t> </w:t>
      </w:r>
      <w:r w:rsidRPr="0040379C">
        <w:rPr>
          <w:rFonts w:ascii="Arial" w:hAnsi="Arial" w:cs="Arial"/>
        </w:rPr>
        <w:t>mld. eur. Saldo bolo aktívne a dosiahlo hodnotu 0,8</w:t>
      </w:r>
      <w:r>
        <w:rPr>
          <w:rFonts w:ascii="Arial" w:hAnsi="Arial" w:cs="Arial"/>
        </w:rPr>
        <w:t> </w:t>
      </w:r>
      <w:r w:rsidRPr="0040379C">
        <w:rPr>
          <w:rFonts w:ascii="Arial" w:hAnsi="Arial" w:cs="Arial"/>
        </w:rPr>
        <w:t>mld. eur. Vo 4. štvrťroku 2024 bolo saldo pasívne v objeme 0,1</w:t>
      </w:r>
      <w:r>
        <w:rPr>
          <w:rFonts w:ascii="Arial" w:hAnsi="Arial" w:cs="Arial"/>
        </w:rPr>
        <w:t> </w:t>
      </w:r>
      <w:r w:rsidRPr="0040379C">
        <w:rPr>
          <w:rFonts w:ascii="Arial" w:hAnsi="Arial" w:cs="Arial"/>
        </w:rPr>
        <w:t>mld. eur.</w:t>
      </w:r>
    </w:p>
    <w:p w14:paraId="434F267B" w14:textId="02CBF8A1" w:rsidR="0040379C" w:rsidRPr="0040379C" w:rsidRDefault="0040379C" w:rsidP="0040379C">
      <w:pPr>
        <w:spacing w:after="100"/>
        <w:ind w:firstLine="284"/>
        <w:rPr>
          <w:rFonts w:ascii="Arial" w:hAnsi="Arial" w:cs="Arial"/>
        </w:rPr>
      </w:pPr>
      <w:r w:rsidRPr="0040379C">
        <w:rPr>
          <w:rFonts w:ascii="Arial" w:hAnsi="Arial" w:cs="Arial"/>
        </w:rPr>
        <w:t>Z hľadiska hlavných ekonomických zoskupení medziročne vzrástla v</w:t>
      </w:r>
      <w:r>
        <w:rPr>
          <w:rFonts w:ascii="Arial" w:hAnsi="Arial" w:cs="Arial"/>
        </w:rPr>
        <w:t>o</w:t>
      </w:r>
      <w:r w:rsidRPr="0040379C">
        <w:rPr>
          <w:rFonts w:ascii="Arial" w:hAnsi="Arial" w:cs="Arial"/>
        </w:rPr>
        <w:t xml:space="preserve"> 4. štvrťroku hodnota vyvezeného tovaru do členských štátov EÚ o</w:t>
      </w:r>
      <w:r>
        <w:rPr>
          <w:rFonts w:ascii="Arial" w:hAnsi="Arial" w:cs="Arial"/>
        </w:rPr>
        <w:t> </w:t>
      </w:r>
      <w:r w:rsidRPr="0040379C">
        <w:rPr>
          <w:rFonts w:ascii="Arial" w:hAnsi="Arial" w:cs="Arial"/>
        </w:rPr>
        <w:t>5,5</w:t>
      </w:r>
      <w:r>
        <w:rPr>
          <w:rFonts w:ascii="Arial" w:hAnsi="Arial" w:cs="Arial"/>
        </w:rPr>
        <w:t> </w:t>
      </w:r>
      <w:r w:rsidRPr="0040379C">
        <w:rPr>
          <w:rFonts w:ascii="Arial" w:hAnsi="Arial" w:cs="Arial"/>
        </w:rPr>
        <w:t>% (tvorila 78,1</w:t>
      </w:r>
      <w:r>
        <w:rPr>
          <w:rFonts w:ascii="Arial" w:hAnsi="Arial" w:cs="Arial"/>
        </w:rPr>
        <w:t> </w:t>
      </w:r>
      <w:r w:rsidRPr="0040379C">
        <w:rPr>
          <w:rFonts w:ascii="Arial" w:hAnsi="Arial" w:cs="Arial"/>
        </w:rPr>
        <w:t>% celkového vývozu zo Slovenska) a do krajín OECD o</w:t>
      </w:r>
      <w:r>
        <w:rPr>
          <w:rFonts w:ascii="Arial" w:hAnsi="Arial" w:cs="Arial"/>
        </w:rPr>
        <w:t> </w:t>
      </w:r>
      <w:r w:rsidRPr="0040379C">
        <w:rPr>
          <w:rFonts w:ascii="Arial" w:hAnsi="Arial" w:cs="Arial"/>
        </w:rPr>
        <w:t>5,2</w:t>
      </w:r>
      <w:r>
        <w:rPr>
          <w:rFonts w:ascii="Arial" w:hAnsi="Arial" w:cs="Arial"/>
        </w:rPr>
        <w:t> </w:t>
      </w:r>
      <w:r w:rsidRPr="0040379C">
        <w:rPr>
          <w:rFonts w:ascii="Arial" w:hAnsi="Arial" w:cs="Arial"/>
        </w:rPr>
        <w:t>% (tvorila 87,5</w:t>
      </w:r>
      <w:r>
        <w:rPr>
          <w:rFonts w:ascii="Arial" w:hAnsi="Arial" w:cs="Arial"/>
        </w:rPr>
        <w:t> </w:t>
      </w:r>
      <w:r w:rsidRPr="0040379C">
        <w:rPr>
          <w:rFonts w:ascii="Arial" w:hAnsi="Arial" w:cs="Arial"/>
        </w:rPr>
        <w:t>% celkového vývozu zo Slovenska).</w:t>
      </w:r>
    </w:p>
    <w:p w14:paraId="4E840656" w14:textId="6DF37B6F" w:rsidR="0040379C" w:rsidRPr="0040379C" w:rsidRDefault="0040379C" w:rsidP="0040379C">
      <w:pPr>
        <w:spacing w:after="100"/>
        <w:ind w:firstLine="284"/>
        <w:rPr>
          <w:rFonts w:ascii="Arial" w:hAnsi="Arial" w:cs="Arial"/>
        </w:rPr>
      </w:pPr>
      <w:r w:rsidRPr="0040379C">
        <w:rPr>
          <w:rFonts w:ascii="Arial" w:hAnsi="Arial" w:cs="Arial"/>
        </w:rPr>
        <w:t>V rámci významných partnerov vzrástol vývoz do Nemecka o</w:t>
      </w:r>
      <w:r>
        <w:rPr>
          <w:rFonts w:ascii="Arial" w:hAnsi="Arial" w:cs="Arial"/>
        </w:rPr>
        <w:t> </w:t>
      </w:r>
      <w:r w:rsidRPr="0040379C">
        <w:rPr>
          <w:rFonts w:ascii="Arial" w:hAnsi="Arial" w:cs="Arial"/>
        </w:rPr>
        <w:t>9,3</w:t>
      </w:r>
      <w:r>
        <w:rPr>
          <w:rFonts w:ascii="Arial" w:hAnsi="Arial" w:cs="Arial"/>
        </w:rPr>
        <w:t> </w:t>
      </w:r>
      <w:r w:rsidRPr="0040379C">
        <w:rPr>
          <w:rFonts w:ascii="Arial" w:hAnsi="Arial" w:cs="Arial"/>
        </w:rPr>
        <w:t>%, Maďarska o</w:t>
      </w:r>
      <w:r>
        <w:rPr>
          <w:rFonts w:ascii="Arial" w:hAnsi="Arial" w:cs="Arial"/>
        </w:rPr>
        <w:t> </w:t>
      </w:r>
      <w:r w:rsidRPr="0040379C">
        <w:rPr>
          <w:rFonts w:ascii="Arial" w:hAnsi="Arial" w:cs="Arial"/>
        </w:rPr>
        <w:t>9,9</w:t>
      </w:r>
      <w:r>
        <w:rPr>
          <w:rFonts w:ascii="Arial" w:hAnsi="Arial" w:cs="Arial"/>
        </w:rPr>
        <w:t> </w:t>
      </w:r>
      <w:r w:rsidRPr="0040379C">
        <w:rPr>
          <w:rFonts w:ascii="Arial" w:hAnsi="Arial" w:cs="Arial"/>
        </w:rPr>
        <w:t>%, Rakúska o</w:t>
      </w:r>
      <w:r>
        <w:rPr>
          <w:rFonts w:ascii="Arial" w:hAnsi="Arial" w:cs="Arial"/>
        </w:rPr>
        <w:t> </w:t>
      </w:r>
      <w:r w:rsidRPr="0040379C">
        <w:rPr>
          <w:rFonts w:ascii="Arial" w:hAnsi="Arial" w:cs="Arial"/>
        </w:rPr>
        <w:t>6,3</w:t>
      </w:r>
      <w:r>
        <w:rPr>
          <w:rFonts w:ascii="Arial" w:hAnsi="Arial" w:cs="Arial"/>
        </w:rPr>
        <w:t> </w:t>
      </w:r>
      <w:r w:rsidRPr="0040379C">
        <w:rPr>
          <w:rFonts w:ascii="Arial" w:hAnsi="Arial" w:cs="Arial"/>
        </w:rPr>
        <w:t>%, Francúzska o</w:t>
      </w:r>
      <w:r>
        <w:rPr>
          <w:rFonts w:ascii="Arial" w:hAnsi="Arial" w:cs="Arial"/>
        </w:rPr>
        <w:t> </w:t>
      </w:r>
      <w:r w:rsidRPr="0040379C">
        <w:rPr>
          <w:rFonts w:ascii="Arial" w:hAnsi="Arial" w:cs="Arial"/>
        </w:rPr>
        <w:t>9,9</w:t>
      </w:r>
      <w:r>
        <w:rPr>
          <w:rFonts w:ascii="Arial" w:hAnsi="Arial" w:cs="Arial"/>
        </w:rPr>
        <w:t> </w:t>
      </w:r>
      <w:r w:rsidRPr="0040379C">
        <w:rPr>
          <w:rFonts w:ascii="Arial" w:hAnsi="Arial" w:cs="Arial"/>
        </w:rPr>
        <w:t>%, Spojeného kráľovstva o</w:t>
      </w:r>
      <w:r>
        <w:rPr>
          <w:rFonts w:ascii="Arial" w:hAnsi="Arial" w:cs="Arial"/>
        </w:rPr>
        <w:t> </w:t>
      </w:r>
      <w:r w:rsidRPr="0040379C">
        <w:rPr>
          <w:rFonts w:ascii="Arial" w:hAnsi="Arial" w:cs="Arial"/>
        </w:rPr>
        <w:t>15,9</w:t>
      </w:r>
      <w:r>
        <w:rPr>
          <w:rFonts w:ascii="Arial" w:hAnsi="Arial" w:cs="Arial"/>
        </w:rPr>
        <w:t> </w:t>
      </w:r>
      <w:r w:rsidRPr="0040379C">
        <w:rPr>
          <w:rFonts w:ascii="Arial" w:hAnsi="Arial" w:cs="Arial"/>
        </w:rPr>
        <w:t>% a Talianska o</w:t>
      </w:r>
      <w:r>
        <w:rPr>
          <w:rFonts w:ascii="Arial" w:hAnsi="Arial" w:cs="Arial"/>
        </w:rPr>
        <w:t> </w:t>
      </w:r>
      <w:r w:rsidRPr="0040379C">
        <w:rPr>
          <w:rFonts w:ascii="Arial" w:hAnsi="Arial" w:cs="Arial"/>
        </w:rPr>
        <w:t>3,4</w:t>
      </w:r>
      <w:r>
        <w:rPr>
          <w:rFonts w:ascii="Arial" w:hAnsi="Arial" w:cs="Arial"/>
        </w:rPr>
        <w:t> </w:t>
      </w:r>
      <w:r w:rsidRPr="0040379C">
        <w:rPr>
          <w:rFonts w:ascii="Arial" w:hAnsi="Arial" w:cs="Arial"/>
        </w:rPr>
        <w:t>%</w:t>
      </w:r>
      <w:r>
        <w:rPr>
          <w:rFonts w:ascii="Arial" w:hAnsi="Arial" w:cs="Arial"/>
        </w:rPr>
        <w:t>.</w:t>
      </w:r>
      <w:r w:rsidRPr="0040379C">
        <w:rPr>
          <w:rFonts w:ascii="Arial" w:hAnsi="Arial" w:cs="Arial"/>
        </w:rPr>
        <w:t xml:space="preserve"> Klesol vývoz do Česka o</w:t>
      </w:r>
      <w:r>
        <w:rPr>
          <w:rFonts w:ascii="Arial" w:hAnsi="Arial" w:cs="Arial"/>
        </w:rPr>
        <w:t> </w:t>
      </w:r>
      <w:r w:rsidRPr="0040379C">
        <w:rPr>
          <w:rFonts w:ascii="Arial" w:hAnsi="Arial" w:cs="Arial"/>
        </w:rPr>
        <w:t>1,5</w:t>
      </w:r>
      <w:r>
        <w:rPr>
          <w:rFonts w:ascii="Arial" w:hAnsi="Arial" w:cs="Arial"/>
        </w:rPr>
        <w:t> </w:t>
      </w:r>
      <w:r w:rsidRPr="0040379C">
        <w:rPr>
          <w:rFonts w:ascii="Arial" w:hAnsi="Arial" w:cs="Arial"/>
        </w:rPr>
        <w:t>%, Poľska o</w:t>
      </w:r>
      <w:r>
        <w:rPr>
          <w:rFonts w:ascii="Arial" w:hAnsi="Arial" w:cs="Arial"/>
        </w:rPr>
        <w:t xml:space="preserve"> </w:t>
      </w:r>
      <w:r w:rsidRPr="0040379C">
        <w:rPr>
          <w:rFonts w:ascii="Arial" w:hAnsi="Arial" w:cs="Arial"/>
        </w:rPr>
        <w:t>0,5</w:t>
      </w:r>
      <w:r>
        <w:rPr>
          <w:rFonts w:ascii="Arial" w:hAnsi="Arial" w:cs="Arial"/>
        </w:rPr>
        <w:t> </w:t>
      </w:r>
      <w:r w:rsidRPr="0040379C">
        <w:rPr>
          <w:rFonts w:ascii="Arial" w:hAnsi="Arial" w:cs="Arial"/>
        </w:rPr>
        <w:t>%, Spojených štátov amerických o</w:t>
      </w:r>
      <w:r>
        <w:rPr>
          <w:rFonts w:ascii="Arial" w:hAnsi="Arial" w:cs="Arial"/>
        </w:rPr>
        <w:t> </w:t>
      </w:r>
      <w:r w:rsidRPr="0040379C">
        <w:rPr>
          <w:rFonts w:ascii="Arial" w:hAnsi="Arial" w:cs="Arial"/>
        </w:rPr>
        <w:t>21,7</w:t>
      </w:r>
      <w:r>
        <w:rPr>
          <w:rFonts w:ascii="Arial" w:hAnsi="Arial" w:cs="Arial"/>
        </w:rPr>
        <w:t> </w:t>
      </w:r>
      <w:r w:rsidRPr="0040379C">
        <w:rPr>
          <w:rFonts w:ascii="Arial" w:hAnsi="Arial" w:cs="Arial"/>
        </w:rPr>
        <w:t>% a Číny o</w:t>
      </w:r>
      <w:r>
        <w:rPr>
          <w:rFonts w:ascii="Arial" w:hAnsi="Arial" w:cs="Arial"/>
        </w:rPr>
        <w:t> </w:t>
      </w:r>
      <w:r w:rsidRPr="0040379C">
        <w:rPr>
          <w:rFonts w:ascii="Arial" w:hAnsi="Arial" w:cs="Arial"/>
        </w:rPr>
        <w:t>54,1</w:t>
      </w:r>
      <w:r>
        <w:rPr>
          <w:rFonts w:ascii="Arial" w:hAnsi="Arial" w:cs="Arial"/>
        </w:rPr>
        <w:t> </w:t>
      </w:r>
      <w:r w:rsidRPr="0040379C">
        <w:rPr>
          <w:rFonts w:ascii="Arial" w:hAnsi="Arial" w:cs="Arial"/>
        </w:rPr>
        <w:t xml:space="preserve">%. </w:t>
      </w:r>
    </w:p>
    <w:p w14:paraId="4B424999" w14:textId="301F3EA5" w:rsidR="00615FBE" w:rsidRPr="00615FBE" w:rsidRDefault="0040379C" w:rsidP="0040379C">
      <w:pPr>
        <w:spacing w:after="100"/>
        <w:ind w:firstLine="284"/>
        <w:rPr>
          <w:rFonts w:ascii="Arial" w:hAnsi="Arial" w:cs="Arial"/>
        </w:rPr>
      </w:pPr>
      <w:r w:rsidRPr="0040379C">
        <w:rPr>
          <w:rFonts w:ascii="Arial" w:hAnsi="Arial" w:cs="Arial"/>
        </w:rPr>
        <w:t>Dovoz z členských štátov EÚ sa zvýšil o 2,2</w:t>
      </w:r>
      <w:r>
        <w:rPr>
          <w:rFonts w:ascii="Arial" w:hAnsi="Arial" w:cs="Arial"/>
        </w:rPr>
        <w:t> </w:t>
      </w:r>
      <w:r w:rsidRPr="0040379C">
        <w:rPr>
          <w:rFonts w:ascii="Arial" w:hAnsi="Arial" w:cs="Arial"/>
        </w:rPr>
        <w:t>% (tvoril 63,5</w:t>
      </w:r>
      <w:r>
        <w:rPr>
          <w:rFonts w:ascii="Arial" w:hAnsi="Arial" w:cs="Arial"/>
        </w:rPr>
        <w:t> </w:t>
      </w:r>
      <w:r w:rsidRPr="0040379C">
        <w:rPr>
          <w:rFonts w:ascii="Arial" w:hAnsi="Arial" w:cs="Arial"/>
        </w:rPr>
        <w:t>% celkového dovozu na Slovensko) a z krajín OECD klesol o</w:t>
      </w:r>
      <w:r>
        <w:rPr>
          <w:rFonts w:ascii="Arial" w:hAnsi="Arial" w:cs="Arial"/>
        </w:rPr>
        <w:t> </w:t>
      </w:r>
      <w:r w:rsidRPr="0040379C">
        <w:rPr>
          <w:rFonts w:ascii="Arial" w:hAnsi="Arial" w:cs="Arial"/>
        </w:rPr>
        <w:t>2,4</w:t>
      </w:r>
      <w:r>
        <w:rPr>
          <w:rFonts w:ascii="Arial" w:hAnsi="Arial" w:cs="Arial"/>
        </w:rPr>
        <w:t> </w:t>
      </w:r>
      <w:r w:rsidRPr="0040379C">
        <w:rPr>
          <w:rFonts w:ascii="Arial" w:hAnsi="Arial" w:cs="Arial"/>
        </w:rPr>
        <w:t>% (tvoril 60</w:t>
      </w:r>
      <w:r>
        <w:rPr>
          <w:rFonts w:ascii="Arial" w:hAnsi="Arial" w:cs="Arial"/>
        </w:rPr>
        <w:t> </w:t>
      </w:r>
      <w:r w:rsidRPr="0040379C">
        <w:rPr>
          <w:rFonts w:ascii="Arial" w:hAnsi="Arial" w:cs="Arial"/>
        </w:rPr>
        <w:t>% celkového dovozu na Slovensko).</w:t>
      </w:r>
      <w:r w:rsidR="00615FBE" w:rsidRPr="00615FBE">
        <w:rPr>
          <w:rFonts w:ascii="Arial" w:hAnsi="Arial" w:cs="Arial"/>
        </w:rPr>
        <w:t xml:space="preserve"> </w:t>
      </w:r>
    </w:p>
    <w:p w14:paraId="22E236D7" w14:textId="74B580ED" w:rsidR="0040379C" w:rsidRPr="0040379C" w:rsidRDefault="0040379C" w:rsidP="0040379C">
      <w:pPr>
        <w:spacing w:after="100"/>
        <w:ind w:firstLine="284"/>
        <w:rPr>
          <w:rFonts w:ascii="Arial" w:hAnsi="Arial" w:cs="Arial"/>
        </w:rPr>
      </w:pPr>
      <w:r w:rsidRPr="0040379C">
        <w:rPr>
          <w:rFonts w:ascii="Arial" w:hAnsi="Arial" w:cs="Arial"/>
        </w:rPr>
        <w:t>Z významných partnerov vzrástol dovoz z Česka o 3,1</w:t>
      </w:r>
      <w:r>
        <w:rPr>
          <w:rFonts w:ascii="Arial" w:hAnsi="Arial" w:cs="Arial"/>
        </w:rPr>
        <w:t> </w:t>
      </w:r>
      <w:r w:rsidRPr="0040379C">
        <w:rPr>
          <w:rFonts w:ascii="Arial" w:hAnsi="Arial" w:cs="Arial"/>
        </w:rPr>
        <w:t>%, Číny o 6,8</w:t>
      </w:r>
      <w:r>
        <w:rPr>
          <w:rFonts w:ascii="Arial" w:hAnsi="Arial" w:cs="Arial"/>
        </w:rPr>
        <w:t> </w:t>
      </w:r>
      <w:r w:rsidRPr="0040379C">
        <w:rPr>
          <w:rFonts w:ascii="Arial" w:hAnsi="Arial" w:cs="Arial"/>
        </w:rPr>
        <w:t>%, Vietnamu o 3,4</w:t>
      </w:r>
      <w:r>
        <w:rPr>
          <w:rFonts w:ascii="Arial" w:hAnsi="Arial" w:cs="Arial"/>
        </w:rPr>
        <w:t> </w:t>
      </w:r>
      <w:r w:rsidRPr="0040379C">
        <w:rPr>
          <w:rFonts w:ascii="Arial" w:hAnsi="Arial" w:cs="Arial"/>
        </w:rPr>
        <w:t>%, Talianska o 8,6</w:t>
      </w:r>
      <w:r>
        <w:rPr>
          <w:rFonts w:ascii="Arial" w:hAnsi="Arial" w:cs="Arial"/>
        </w:rPr>
        <w:t> </w:t>
      </w:r>
      <w:r w:rsidRPr="0040379C">
        <w:rPr>
          <w:rFonts w:ascii="Arial" w:hAnsi="Arial" w:cs="Arial"/>
        </w:rPr>
        <w:t>%,  Francúzska o 7,6</w:t>
      </w:r>
      <w:r>
        <w:rPr>
          <w:rFonts w:ascii="Arial" w:hAnsi="Arial" w:cs="Arial"/>
        </w:rPr>
        <w:t> </w:t>
      </w:r>
      <w:r w:rsidRPr="0040379C">
        <w:rPr>
          <w:rFonts w:ascii="Arial" w:hAnsi="Arial" w:cs="Arial"/>
        </w:rPr>
        <w:t>% a Spojených štátov amerických o 53,4</w:t>
      </w:r>
      <w:r>
        <w:rPr>
          <w:rFonts w:ascii="Arial" w:hAnsi="Arial" w:cs="Arial"/>
        </w:rPr>
        <w:t> </w:t>
      </w:r>
      <w:r w:rsidRPr="0040379C">
        <w:rPr>
          <w:rFonts w:ascii="Arial" w:hAnsi="Arial" w:cs="Arial"/>
        </w:rPr>
        <w:t>%. Klesol dovoz z  Nemecka o 8,8</w:t>
      </w:r>
      <w:r>
        <w:rPr>
          <w:rFonts w:ascii="Arial" w:hAnsi="Arial" w:cs="Arial"/>
        </w:rPr>
        <w:t> </w:t>
      </w:r>
      <w:r w:rsidRPr="0040379C">
        <w:rPr>
          <w:rFonts w:ascii="Arial" w:hAnsi="Arial" w:cs="Arial"/>
        </w:rPr>
        <w:t>%, Poľska o 0,7</w:t>
      </w:r>
      <w:r>
        <w:rPr>
          <w:rFonts w:ascii="Arial" w:hAnsi="Arial" w:cs="Arial"/>
        </w:rPr>
        <w:t> </w:t>
      </w:r>
      <w:r w:rsidRPr="0040379C">
        <w:rPr>
          <w:rFonts w:ascii="Arial" w:hAnsi="Arial" w:cs="Arial"/>
        </w:rPr>
        <w:t>%, Maďarska o 5,9</w:t>
      </w:r>
      <w:r>
        <w:rPr>
          <w:rFonts w:ascii="Arial" w:hAnsi="Arial" w:cs="Arial"/>
        </w:rPr>
        <w:t> </w:t>
      </w:r>
      <w:r w:rsidRPr="0040379C">
        <w:rPr>
          <w:rFonts w:ascii="Arial" w:hAnsi="Arial" w:cs="Arial"/>
        </w:rPr>
        <w:t>%, Kórejskej republiky o 16,3</w:t>
      </w:r>
      <w:r>
        <w:rPr>
          <w:rFonts w:ascii="Arial" w:hAnsi="Arial" w:cs="Arial"/>
        </w:rPr>
        <w:t> </w:t>
      </w:r>
      <w:r w:rsidRPr="0040379C">
        <w:rPr>
          <w:rFonts w:ascii="Arial" w:hAnsi="Arial" w:cs="Arial"/>
        </w:rPr>
        <w:t>%, Ruskej federácie o</w:t>
      </w:r>
      <w:r>
        <w:rPr>
          <w:rFonts w:ascii="Arial" w:hAnsi="Arial" w:cs="Arial"/>
        </w:rPr>
        <w:t> </w:t>
      </w:r>
      <w:r w:rsidRPr="0040379C">
        <w:rPr>
          <w:rFonts w:ascii="Arial" w:hAnsi="Arial" w:cs="Arial"/>
        </w:rPr>
        <w:t>47</w:t>
      </w:r>
      <w:r>
        <w:rPr>
          <w:rFonts w:ascii="Arial" w:hAnsi="Arial" w:cs="Arial"/>
        </w:rPr>
        <w:t> </w:t>
      </w:r>
      <w:r w:rsidRPr="0040379C">
        <w:rPr>
          <w:rFonts w:ascii="Arial" w:hAnsi="Arial" w:cs="Arial"/>
        </w:rPr>
        <w:t>%, Rakúska o 2,7</w:t>
      </w:r>
      <w:r>
        <w:rPr>
          <w:rFonts w:ascii="Arial" w:hAnsi="Arial" w:cs="Arial"/>
        </w:rPr>
        <w:t> </w:t>
      </w:r>
      <w:r w:rsidRPr="0040379C">
        <w:rPr>
          <w:rFonts w:ascii="Arial" w:hAnsi="Arial" w:cs="Arial"/>
        </w:rPr>
        <w:t>% a Spojeného kráľovstva o 21,4</w:t>
      </w:r>
      <w:r>
        <w:rPr>
          <w:rFonts w:ascii="Arial" w:hAnsi="Arial" w:cs="Arial"/>
        </w:rPr>
        <w:t> </w:t>
      </w:r>
      <w:r w:rsidRPr="0040379C">
        <w:rPr>
          <w:rFonts w:ascii="Arial" w:hAnsi="Arial" w:cs="Arial"/>
        </w:rPr>
        <w:t>%.</w:t>
      </w:r>
    </w:p>
    <w:p w14:paraId="67B9EA6D" w14:textId="5B5E94F8" w:rsidR="00D15474" w:rsidRDefault="0040379C" w:rsidP="0040379C">
      <w:pPr>
        <w:spacing w:after="100"/>
        <w:ind w:firstLine="284"/>
        <w:rPr>
          <w:rFonts w:ascii="Arial" w:hAnsi="Arial" w:cs="Arial"/>
        </w:rPr>
      </w:pPr>
      <w:r w:rsidRPr="0040379C">
        <w:rPr>
          <w:rFonts w:ascii="Arial" w:hAnsi="Arial" w:cs="Arial"/>
        </w:rPr>
        <w:t>Významné aktívne saldo zahraničného obchodu malo Slovensko s Nemeckom (2,6 mld. eur), Maďarskom (1,1 mld. eur), Spojeným kráľovstvom (1 mld. eur), Rakúskom (893,1 mil. eur), Českom (841,5 mil. eur), Francúzskom (734,4 mil. eur) a Spojenými štátmi americkými (390,4 mil. eur), Významné pasívne saldo malo Slovensko s Čínou (1,9 mld. eur), Vietnamom (1,3 mld. eur), Kórejskou republikou (1 mld. eur) a Ruskou federáciou (735,8 mil. eur).</w:t>
      </w:r>
    </w:p>
    <w:p w14:paraId="5F07A346" w14:textId="43EAE986" w:rsidR="0040379C" w:rsidRPr="0040379C" w:rsidRDefault="0040379C" w:rsidP="0040379C">
      <w:pPr>
        <w:spacing w:after="100"/>
        <w:ind w:firstLine="284"/>
        <w:rPr>
          <w:rFonts w:ascii="Arial" w:hAnsi="Arial" w:cs="Arial"/>
        </w:rPr>
      </w:pPr>
      <w:r w:rsidRPr="0040379C">
        <w:rPr>
          <w:rFonts w:ascii="Arial" w:hAnsi="Arial" w:cs="Arial"/>
          <w:b/>
          <w:bCs/>
        </w:rPr>
        <w:t>Za rok 2025</w:t>
      </w:r>
      <w:r w:rsidRPr="0040379C">
        <w:rPr>
          <w:rFonts w:ascii="Arial" w:hAnsi="Arial" w:cs="Arial"/>
        </w:rPr>
        <w:t xml:space="preserve"> dosiahol vývoz tovaru hodnotu 110,9</w:t>
      </w:r>
      <w:r>
        <w:rPr>
          <w:rFonts w:ascii="Arial" w:hAnsi="Arial" w:cs="Arial"/>
        </w:rPr>
        <w:t> </w:t>
      </w:r>
      <w:r w:rsidRPr="0040379C">
        <w:rPr>
          <w:rFonts w:ascii="Arial" w:hAnsi="Arial" w:cs="Arial"/>
        </w:rPr>
        <w:t>mld. eur pri medziročnom raste o 3,8</w:t>
      </w:r>
      <w:r>
        <w:rPr>
          <w:rFonts w:ascii="Arial" w:hAnsi="Arial" w:cs="Arial"/>
        </w:rPr>
        <w:t> </w:t>
      </w:r>
      <w:r w:rsidRPr="0040379C">
        <w:rPr>
          <w:rFonts w:ascii="Arial" w:hAnsi="Arial" w:cs="Arial"/>
        </w:rPr>
        <w:t>%. Dovoz tovaru sa zvýšil o 3,9</w:t>
      </w:r>
      <w:r>
        <w:rPr>
          <w:rFonts w:ascii="Arial" w:hAnsi="Arial" w:cs="Arial"/>
        </w:rPr>
        <w:t> </w:t>
      </w:r>
      <w:r w:rsidRPr="0040379C">
        <w:rPr>
          <w:rFonts w:ascii="Arial" w:hAnsi="Arial" w:cs="Arial"/>
        </w:rPr>
        <w:t>% na 108,1 mld. eur. Saldo zahraničného obchodu bolo aktívne v objeme 2,8 mld. eur.</w:t>
      </w:r>
    </w:p>
    <w:p w14:paraId="430F9935" w14:textId="485C41EB" w:rsidR="0040379C" w:rsidRPr="0040379C" w:rsidRDefault="0040379C" w:rsidP="0040379C">
      <w:pPr>
        <w:spacing w:after="100"/>
        <w:ind w:firstLine="284"/>
        <w:rPr>
          <w:rFonts w:ascii="Arial" w:hAnsi="Arial" w:cs="Arial"/>
        </w:rPr>
      </w:pPr>
      <w:r w:rsidRPr="0040379C">
        <w:rPr>
          <w:rFonts w:ascii="Arial" w:hAnsi="Arial" w:cs="Arial"/>
        </w:rPr>
        <w:t>V rámci významných partnerov v roku 2025 vzrástla hodnota vývozu do Nemecka o 3,8</w:t>
      </w:r>
      <w:r>
        <w:rPr>
          <w:rFonts w:ascii="Arial" w:hAnsi="Arial" w:cs="Arial"/>
        </w:rPr>
        <w:t> </w:t>
      </w:r>
      <w:r w:rsidRPr="0040379C">
        <w:rPr>
          <w:rFonts w:ascii="Arial" w:hAnsi="Arial" w:cs="Arial"/>
        </w:rPr>
        <w:t>%, Česka o 6,5</w:t>
      </w:r>
      <w:r>
        <w:rPr>
          <w:rFonts w:ascii="Arial" w:hAnsi="Arial" w:cs="Arial"/>
        </w:rPr>
        <w:t> </w:t>
      </w:r>
      <w:r w:rsidRPr="0040379C">
        <w:rPr>
          <w:rFonts w:ascii="Arial" w:hAnsi="Arial" w:cs="Arial"/>
        </w:rPr>
        <w:t>%, Maďarska o 3,5</w:t>
      </w:r>
      <w:r>
        <w:rPr>
          <w:rFonts w:ascii="Arial" w:hAnsi="Arial" w:cs="Arial"/>
        </w:rPr>
        <w:t> </w:t>
      </w:r>
      <w:r w:rsidRPr="0040379C">
        <w:rPr>
          <w:rFonts w:ascii="Arial" w:hAnsi="Arial" w:cs="Arial"/>
        </w:rPr>
        <w:t>%, Poľska o 3,8</w:t>
      </w:r>
      <w:r>
        <w:rPr>
          <w:rFonts w:ascii="Arial" w:hAnsi="Arial" w:cs="Arial"/>
        </w:rPr>
        <w:t> </w:t>
      </w:r>
      <w:r w:rsidRPr="0040379C">
        <w:rPr>
          <w:rFonts w:ascii="Arial" w:hAnsi="Arial" w:cs="Arial"/>
        </w:rPr>
        <w:t>% a Rakúska o</w:t>
      </w:r>
      <w:r>
        <w:rPr>
          <w:rFonts w:ascii="Arial" w:hAnsi="Arial" w:cs="Arial"/>
        </w:rPr>
        <w:t> </w:t>
      </w:r>
      <w:r w:rsidRPr="0040379C">
        <w:rPr>
          <w:rFonts w:ascii="Arial" w:hAnsi="Arial" w:cs="Arial"/>
        </w:rPr>
        <w:t>5</w:t>
      </w:r>
      <w:r>
        <w:rPr>
          <w:rFonts w:ascii="Arial" w:hAnsi="Arial" w:cs="Arial"/>
        </w:rPr>
        <w:t> </w:t>
      </w:r>
      <w:r w:rsidRPr="0040379C">
        <w:rPr>
          <w:rFonts w:ascii="Arial" w:hAnsi="Arial" w:cs="Arial"/>
        </w:rPr>
        <w:t>%. Klesla do Spojených štátov amerických o 18,1</w:t>
      </w:r>
      <w:r>
        <w:rPr>
          <w:rFonts w:ascii="Arial" w:hAnsi="Arial" w:cs="Arial"/>
        </w:rPr>
        <w:t> </w:t>
      </w:r>
      <w:r w:rsidRPr="0040379C">
        <w:rPr>
          <w:rFonts w:ascii="Arial" w:hAnsi="Arial" w:cs="Arial"/>
        </w:rPr>
        <w:t>% a Číny o 27,6</w:t>
      </w:r>
      <w:r>
        <w:rPr>
          <w:rFonts w:ascii="Arial" w:hAnsi="Arial" w:cs="Arial"/>
        </w:rPr>
        <w:t> </w:t>
      </w:r>
      <w:r w:rsidRPr="0040379C">
        <w:rPr>
          <w:rFonts w:ascii="Arial" w:hAnsi="Arial" w:cs="Arial"/>
        </w:rPr>
        <w:t>%.</w:t>
      </w:r>
    </w:p>
    <w:p w14:paraId="5B9ACF63" w14:textId="2D38ECFC" w:rsidR="008500F5" w:rsidRPr="000A4BC5" w:rsidRDefault="0040379C" w:rsidP="0040379C">
      <w:pPr>
        <w:spacing w:after="100"/>
        <w:ind w:firstLine="284"/>
        <w:rPr>
          <w:rFonts w:ascii="Arial" w:hAnsi="Arial" w:cs="Arial"/>
        </w:rPr>
      </w:pPr>
      <w:r w:rsidRPr="0040379C">
        <w:rPr>
          <w:rFonts w:ascii="Arial" w:hAnsi="Arial" w:cs="Arial"/>
        </w:rPr>
        <w:t>Z významných partnerov vzrástla hodnota dovozu z Česka o 0,6</w:t>
      </w:r>
      <w:r>
        <w:rPr>
          <w:rFonts w:ascii="Arial" w:hAnsi="Arial" w:cs="Arial"/>
        </w:rPr>
        <w:t> </w:t>
      </w:r>
      <w:r w:rsidRPr="0040379C">
        <w:rPr>
          <w:rFonts w:ascii="Arial" w:hAnsi="Arial" w:cs="Arial"/>
        </w:rPr>
        <w:t>%, Číny o 11,2</w:t>
      </w:r>
      <w:r>
        <w:rPr>
          <w:rFonts w:ascii="Arial" w:hAnsi="Arial" w:cs="Arial"/>
        </w:rPr>
        <w:t> </w:t>
      </w:r>
      <w:r w:rsidRPr="0040379C">
        <w:rPr>
          <w:rFonts w:ascii="Arial" w:hAnsi="Arial" w:cs="Arial"/>
        </w:rPr>
        <w:t>%, Poľska o</w:t>
      </w:r>
      <w:r>
        <w:rPr>
          <w:rFonts w:ascii="Arial" w:hAnsi="Arial" w:cs="Arial"/>
        </w:rPr>
        <w:t> </w:t>
      </w:r>
      <w:r w:rsidRPr="0040379C">
        <w:rPr>
          <w:rFonts w:ascii="Arial" w:hAnsi="Arial" w:cs="Arial"/>
        </w:rPr>
        <w:t>2</w:t>
      </w:r>
      <w:r>
        <w:rPr>
          <w:rFonts w:ascii="Arial" w:hAnsi="Arial" w:cs="Arial"/>
        </w:rPr>
        <w:t> </w:t>
      </w:r>
      <w:r w:rsidRPr="0040379C">
        <w:rPr>
          <w:rFonts w:ascii="Arial" w:hAnsi="Arial" w:cs="Arial"/>
        </w:rPr>
        <w:t>%, Vietnamu o 14,5</w:t>
      </w:r>
      <w:r>
        <w:rPr>
          <w:rFonts w:ascii="Arial" w:hAnsi="Arial" w:cs="Arial"/>
        </w:rPr>
        <w:t> </w:t>
      </w:r>
      <w:r w:rsidRPr="0040379C">
        <w:rPr>
          <w:rFonts w:ascii="Arial" w:hAnsi="Arial" w:cs="Arial"/>
        </w:rPr>
        <w:t>% a Talianska o 4,6</w:t>
      </w:r>
      <w:r>
        <w:rPr>
          <w:rFonts w:ascii="Arial" w:hAnsi="Arial" w:cs="Arial"/>
        </w:rPr>
        <w:t> </w:t>
      </w:r>
      <w:r w:rsidRPr="0040379C">
        <w:rPr>
          <w:rFonts w:ascii="Arial" w:hAnsi="Arial" w:cs="Arial"/>
        </w:rPr>
        <w:t>%. Klesla z Nemecka o</w:t>
      </w:r>
      <w:r>
        <w:rPr>
          <w:rFonts w:ascii="Arial" w:hAnsi="Arial" w:cs="Arial"/>
        </w:rPr>
        <w:t> </w:t>
      </w:r>
      <w:r w:rsidRPr="0040379C">
        <w:rPr>
          <w:rFonts w:ascii="Arial" w:hAnsi="Arial" w:cs="Arial"/>
        </w:rPr>
        <w:t>4</w:t>
      </w:r>
      <w:r>
        <w:rPr>
          <w:rFonts w:ascii="Arial" w:hAnsi="Arial" w:cs="Arial"/>
        </w:rPr>
        <w:t> </w:t>
      </w:r>
      <w:r w:rsidRPr="0040379C">
        <w:rPr>
          <w:rFonts w:ascii="Arial" w:hAnsi="Arial" w:cs="Arial"/>
        </w:rPr>
        <w:t>%, Kórejskej republiky o 10,9</w:t>
      </w:r>
      <w:r>
        <w:rPr>
          <w:rFonts w:ascii="Arial" w:hAnsi="Arial" w:cs="Arial"/>
        </w:rPr>
        <w:t> </w:t>
      </w:r>
      <w:r w:rsidRPr="0040379C">
        <w:rPr>
          <w:rFonts w:ascii="Arial" w:hAnsi="Arial" w:cs="Arial"/>
        </w:rPr>
        <w:t>% a Ruskej federácie o</w:t>
      </w:r>
      <w:r>
        <w:rPr>
          <w:rFonts w:ascii="Arial" w:hAnsi="Arial" w:cs="Arial"/>
        </w:rPr>
        <w:t> </w:t>
      </w:r>
      <w:r w:rsidRPr="0040379C">
        <w:rPr>
          <w:rFonts w:ascii="Arial" w:hAnsi="Arial" w:cs="Arial"/>
        </w:rPr>
        <w:t>13</w:t>
      </w:r>
      <w:r>
        <w:rPr>
          <w:rFonts w:ascii="Arial" w:hAnsi="Arial" w:cs="Arial"/>
        </w:rPr>
        <w:t> </w:t>
      </w:r>
      <w:r w:rsidRPr="0040379C">
        <w:rPr>
          <w:rFonts w:ascii="Arial" w:hAnsi="Arial" w:cs="Arial"/>
        </w:rPr>
        <w:t>%.</w:t>
      </w:r>
    </w:p>
    <w:p w14:paraId="788E108E" w14:textId="77777777" w:rsidR="00CA723D" w:rsidRDefault="00CA723D" w:rsidP="009F4B5C">
      <w:pPr>
        <w:tabs>
          <w:tab w:val="left" w:pos="426"/>
        </w:tabs>
        <w:rPr>
          <w:rFonts w:ascii="Arial" w:hAnsi="Arial"/>
          <w:b/>
          <w:caps/>
          <w:szCs w:val="22"/>
        </w:rPr>
      </w:pPr>
    </w:p>
    <w:p w14:paraId="48FA5337" w14:textId="65F9692A" w:rsidR="00F029E2" w:rsidRPr="00FA456E" w:rsidRDefault="00F029E2" w:rsidP="009F4B5C">
      <w:pPr>
        <w:tabs>
          <w:tab w:val="left" w:pos="426"/>
        </w:tabs>
        <w:rPr>
          <w:rFonts w:ascii="Arial" w:hAnsi="Arial"/>
          <w:b/>
          <w:caps/>
          <w:szCs w:val="22"/>
        </w:rPr>
      </w:pPr>
      <w:r w:rsidRPr="00FA456E">
        <w:rPr>
          <w:rFonts w:ascii="Arial" w:hAnsi="Arial"/>
          <w:b/>
          <w:caps/>
          <w:szCs w:val="22"/>
        </w:rPr>
        <w:t>3. Cenový vývoj a deflátory</w:t>
      </w:r>
    </w:p>
    <w:p w14:paraId="465739A6" w14:textId="4AF215D1" w:rsidR="00F029E2" w:rsidRPr="00FA456E" w:rsidRDefault="00DD479B" w:rsidP="009F4B5C">
      <w:pPr>
        <w:tabs>
          <w:tab w:val="left" w:pos="426"/>
        </w:tabs>
        <w:rPr>
          <w:rFonts w:ascii="Arial" w:hAnsi="Arial"/>
          <w:sz w:val="20"/>
        </w:rPr>
      </w:pPr>
      <w:r>
        <w:rPr>
          <w:rFonts w:ascii="Arial" w:hAnsi="Arial"/>
          <w:sz w:val="20"/>
        </w:rPr>
        <w:t xml:space="preserve">  </w:t>
      </w:r>
      <w:r w:rsidR="00F029E2" w:rsidRPr="00FA456E">
        <w:rPr>
          <w:rFonts w:ascii="Arial" w:hAnsi="Arial"/>
          <w:sz w:val="20"/>
        </w:rPr>
        <w:t xml:space="preserve"> (tab. </w:t>
      </w:r>
      <w:r w:rsidR="00CB648F">
        <w:rPr>
          <w:rFonts w:ascii="Arial" w:hAnsi="Arial"/>
          <w:sz w:val="20"/>
        </w:rPr>
        <w:t>T</w:t>
      </w:r>
      <w:r w:rsidR="00F029E2" w:rsidRPr="00FA456E">
        <w:rPr>
          <w:rFonts w:ascii="Arial" w:hAnsi="Arial"/>
          <w:sz w:val="20"/>
        </w:rPr>
        <w:t xml:space="preserve">1, </w:t>
      </w:r>
      <w:r w:rsidR="00CB648F">
        <w:rPr>
          <w:rFonts w:ascii="Arial" w:hAnsi="Arial"/>
          <w:sz w:val="20"/>
        </w:rPr>
        <w:t>T</w:t>
      </w:r>
      <w:r w:rsidR="00F029E2" w:rsidRPr="00FA456E">
        <w:rPr>
          <w:rFonts w:ascii="Arial" w:hAnsi="Arial"/>
          <w:sz w:val="20"/>
        </w:rPr>
        <w:t>1</w:t>
      </w:r>
      <w:r w:rsidR="00FC5BFB">
        <w:rPr>
          <w:rFonts w:ascii="Arial" w:hAnsi="Arial"/>
          <w:sz w:val="20"/>
        </w:rPr>
        <w:t>1</w:t>
      </w:r>
      <w:r w:rsidR="00F029E2" w:rsidRPr="00FA456E">
        <w:rPr>
          <w:rFonts w:ascii="Arial" w:hAnsi="Arial"/>
          <w:sz w:val="20"/>
        </w:rPr>
        <w:t>)</w:t>
      </w:r>
    </w:p>
    <w:p w14:paraId="1B4B78E3" w14:textId="77777777" w:rsidR="00F029E2" w:rsidRPr="00FA456E" w:rsidRDefault="00F029E2" w:rsidP="009F4B5C">
      <w:pPr>
        <w:tabs>
          <w:tab w:val="left" w:pos="426"/>
        </w:tabs>
        <w:rPr>
          <w:rFonts w:ascii="Arial" w:hAnsi="Arial"/>
          <w:sz w:val="14"/>
          <w:szCs w:val="14"/>
        </w:rPr>
      </w:pPr>
    </w:p>
    <w:p w14:paraId="39695F4D" w14:textId="066E14C9" w:rsidR="00EA5596" w:rsidRPr="00FA456E" w:rsidRDefault="00EA5596" w:rsidP="009F4B5C">
      <w:pPr>
        <w:tabs>
          <w:tab w:val="left" w:pos="426"/>
        </w:tabs>
        <w:rPr>
          <w:rFonts w:ascii="Arial" w:hAnsi="Arial"/>
          <w:b/>
          <w:szCs w:val="22"/>
        </w:rPr>
      </w:pPr>
      <w:r w:rsidRPr="00FA456E">
        <w:rPr>
          <w:rFonts w:ascii="Arial" w:hAnsi="Arial"/>
          <w:b/>
          <w:szCs w:val="22"/>
        </w:rPr>
        <w:t>3.1 Spotrebiteľské ceny</w:t>
      </w:r>
      <w:r w:rsidR="00DD479B">
        <w:rPr>
          <w:rFonts w:ascii="Arial" w:hAnsi="Arial"/>
          <w:b/>
          <w:szCs w:val="22"/>
        </w:rPr>
        <w:t xml:space="preserve"> </w:t>
      </w:r>
    </w:p>
    <w:p w14:paraId="1A79E7B7" w14:textId="150619CD" w:rsidR="00EA5596" w:rsidRPr="00FA456E" w:rsidRDefault="00DD479B" w:rsidP="009F4B5C">
      <w:pPr>
        <w:tabs>
          <w:tab w:val="left" w:pos="426"/>
        </w:tabs>
        <w:rPr>
          <w:rFonts w:ascii="Arial" w:hAnsi="Arial"/>
          <w:sz w:val="20"/>
          <w:u w:val="single"/>
        </w:rPr>
      </w:pPr>
      <w:r>
        <w:rPr>
          <w:rFonts w:ascii="Arial" w:hAnsi="Arial"/>
        </w:rPr>
        <w:t xml:space="preserve">   </w:t>
      </w:r>
      <w:r w:rsidR="00EA5596" w:rsidRPr="00FA456E">
        <w:rPr>
          <w:rFonts w:ascii="Arial" w:hAnsi="Arial"/>
          <w:sz w:val="20"/>
        </w:rPr>
        <w:t xml:space="preserve">(tab. </w:t>
      </w:r>
      <w:r w:rsidR="00CB648F">
        <w:rPr>
          <w:rFonts w:ascii="Arial" w:hAnsi="Arial"/>
          <w:sz w:val="20"/>
        </w:rPr>
        <w:t>T</w:t>
      </w:r>
      <w:r w:rsidR="00EA5596" w:rsidRPr="00FA456E">
        <w:rPr>
          <w:rFonts w:ascii="Arial" w:hAnsi="Arial"/>
          <w:sz w:val="20"/>
        </w:rPr>
        <w:t xml:space="preserve">1, </w:t>
      </w:r>
      <w:r w:rsidR="00CB648F">
        <w:rPr>
          <w:rFonts w:ascii="Arial" w:hAnsi="Arial"/>
          <w:sz w:val="20"/>
        </w:rPr>
        <w:t>T</w:t>
      </w:r>
      <w:r w:rsidR="00EA5596" w:rsidRPr="00FA456E">
        <w:rPr>
          <w:rFonts w:ascii="Arial" w:hAnsi="Arial"/>
          <w:sz w:val="20"/>
        </w:rPr>
        <w:t xml:space="preserve">2, </w:t>
      </w:r>
      <w:r w:rsidR="00CB648F">
        <w:rPr>
          <w:rFonts w:ascii="Arial" w:hAnsi="Arial"/>
          <w:sz w:val="20"/>
        </w:rPr>
        <w:t>T</w:t>
      </w:r>
      <w:r w:rsidR="00555D69">
        <w:rPr>
          <w:rFonts w:ascii="Arial" w:hAnsi="Arial"/>
          <w:sz w:val="20"/>
        </w:rPr>
        <w:t>1</w:t>
      </w:r>
      <w:r w:rsidR="002136E4">
        <w:rPr>
          <w:rFonts w:ascii="Arial" w:hAnsi="Arial"/>
          <w:sz w:val="20"/>
        </w:rPr>
        <w:t>8</w:t>
      </w:r>
      <w:r w:rsidR="007B003B" w:rsidRPr="00FA456E">
        <w:rPr>
          <w:rFonts w:ascii="Arial" w:hAnsi="Arial"/>
          <w:sz w:val="20"/>
        </w:rPr>
        <w:t>,</w:t>
      </w:r>
      <w:r w:rsidR="00EA5596" w:rsidRPr="00FA456E">
        <w:rPr>
          <w:rFonts w:ascii="Arial" w:hAnsi="Arial"/>
          <w:sz w:val="20"/>
        </w:rPr>
        <w:t xml:space="preserve"> </w:t>
      </w:r>
      <w:r w:rsidR="00CB648F">
        <w:rPr>
          <w:rFonts w:ascii="Arial" w:hAnsi="Arial"/>
          <w:sz w:val="20"/>
        </w:rPr>
        <w:t>T</w:t>
      </w:r>
      <w:r w:rsidR="00555D69">
        <w:rPr>
          <w:rFonts w:ascii="Arial" w:hAnsi="Arial"/>
          <w:sz w:val="20"/>
        </w:rPr>
        <w:t>1</w:t>
      </w:r>
      <w:r w:rsidR="002136E4">
        <w:rPr>
          <w:rFonts w:ascii="Arial" w:hAnsi="Arial"/>
          <w:sz w:val="20"/>
        </w:rPr>
        <w:t>9</w:t>
      </w:r>
      <w:r w:rsidR="00EA5596" w:rsidRPr="00FA456E">
        <w:rPr>
          <w:rFonts w:ascii="Arial" w:hAnsi="Arial"/>
          <w:sz w:val="20"/>
        </w:rPr>
        <w:t>)</w:t>
      </w:r>
    </w:p>
    <w:p w14:paraId="51BB09AF" w14:textId="77777777" w:rsidR="00EA5596" w:rsidRPr="00FA456E" w:rsidRDefault="00EA5596" w:rsidP="009F4B5C">
      <w:pPr>
        <w:tabs>
          <w:tab w:val="left" w:pos="426"/>
        </w:tabs>
        <w:rPr>
          <w:rFonts w:ascii="Arial" w:hAnsi="Arial" w:cs="Arial"/>
          <w:sz w:val="14"/>
          <w:szCs w:val="14"/>
        </w:rPr>
      </w:pPr>
    </w:p>
    <w:p w14:paraId="1926D648" w14:textId="444FAC06" w:rsidR="00B575BA" w:rsidRPr="00F11022" w:rsidRDefault="009165AD" w:rsidP="004E038C">
      <w:pPr>
        <w:tabs>
          <w:tab w:val="left" w:pos="426"/>
        </w:tabs>
        <w:spacing w:after="100"/>
        <w:ind w:firstLine="284"/>
        <w:rPr>
          <w:rFonts w:ascii="Arial" w:hAnsi="Arial" w:cs="Arial"/>
        </w:rPr>
      </w:pPr>
      <w:r w:rsidRPr="00F11022">
        <w:rPr>
          <w:rFonts w:ascii="Arial" w:hAnsi="Arial" w:cs="Arial"/>
        </w:rPr>
        <w:t>Rast spotrebiteľských cien</w:t>
      </w:r>
      <w:r w:rsidR="00F11022" w:rsidRPr="00F11022">
        <w:rPr>
          <w:rFonts w:ascii="Arial" w:hAnsi="Arial" w:cs="Arial"/>
        </w:rPr>
        <w:t xml:space="preserve"> </w:t>
      </w:r>
      <w:r w:rsidR="00367EE9" w:rsidRPr="00F11022">
        <w:rPr>
          <w:rFonts w:ascii="Arial" w:hAnsi="Arial" w:cs="Arial"/>
        </w:rPr>
        <w:t>v</w:t>
      </w:r>
      <w:r w:rsidR="00C10C07">
        <w:rPr>
          <w:rFonts w:ascii="Arial" w:hAnsi="Arial" w:cs="Arial"/>
        </w:rPr>
        <w:t>o</w:t>
      </w:r>
      <w:r w:rsidR="00367EE9" w:rsidRPr="00F11022">
        <w:rPr>
          <w:rFonts w:ascii="Arial" w:hAnsi="Arial" w:cs="Arial"/>
        </w:rPr>
        <w:t> </w:t>
      </w:r>
      <w:r w:rsidR="00C10C07">
        <w:rPr>
          <w:rFonts w:ascii="Arial" w:hAnsi="Arial" w:cs="Arial"/>
        </w:rPr>
        <w:t>4</w:t>
      </w:r>
      <w:r w:rsidR="00367EE9" w:rsidRPr="00F11022">
        <w:rPr>
          <w:rFonts w:ascii="Arial" w:hAnsi="Arial" w:cs="Arial"/>
        </w:rPr>
        <w:t xml:space="preserve">. štvrťroku </w:t>
      </w:r>
      <w:r w:rsidR="00CC5F4C" w:rsidRPr="00F11022">
        <w:rPr>
          <w:rFonts w:ascii="Arial" w:hAnsi="Arial" w:cs="Arial"/>
        </w:rPr>
        <w:t xml:space="preserve">2025 </w:t>
      </w:r>
      <w:r w:rsidR="00C10C07">
        <w:rPr>
          <w:rFonts w:ascii="Arial" w:hAnsi="Arial" w:cs="Arial"/>
        </w:rPr>
        <w:t>dosiahol</w:t>
      </w:r>
      <w:r w:rsidR="0014038E" w:rsidRPr="00F11022">
        <w:rPr>
          <w:rFonts w:ascii="Arial" w:hAnsi="Arial" w:cs="Arial"/>
        </w:rPr>
        <w:t xml:space="preserve"> </w:t>
      </w:r>
      <w:r w:rsidR="00C10C07">
        <w:rPr>
          <w:rFonts w:ascii="Arial" w:hAnsi="Arial" w:cs="Arial"/>
        </w:rPr>
        <w:t>úroveň 3,8 </w:t>
      </w:r>
      <w:r w:rsidR="0014038E" w:rsidRPr="00F11022">
        <w:rPr>
          <w:rFonts w:ascii="Arial" w:hAnsi="Arial" w:cs="Arial"/>
        </w:rPr>
        <w:t xml:space="preserve">%, </w:t>
      </w:r>
      <w:r w:rsidR="00C10C07">
        <w:rPr>
          <w:rFonts w:ascii="Arial" w:hAnsi="Arial" w:cs="Arial"/>
        </w:rPr>
        <w:t>tempo rastu sa zmiernilo</w:t>
      </w:r>
      <w:r w:rsidR="00367EE9" w:rsidRPr="00F11022">
        <w:rPr>
          <w:rFonts w:ascii="Arial" w:hAnsi="Arial" w:cs="Arial"/>
        </w:rPr>
        <w:t>.</w:t>
      </w:r>
      <w:r w:rsidR="00FC41D5" w:rsidRPr="00F11022">
        <w:rPr>
          <w:rFonts w:ascii="Arial" w:hAnsi="Arial" w:cs="Arial"/>
        </w:rPr>
        <w:t xml:space="preserve"> Bola to </w:t>
      </w:r>
      <w:r w:rsidR="00C10C07">
        <w:rPr>
          <w:rFonts w:ascii="Arial" w:hAnsi="Arial" w:cs="Arial"/>
        </w:rPr>
        <w:t xml:space="preserve">zároveň </w:t>
      </w:r>
      <w:r w:rsidR="00FC41D5" w:rsidRPr="00F11022">
        <w:rPr>
          <w:rFonts w:ascii="Arial" w:hAnsi="Arial" w:cs="Arial"/>
        </w:rPr>
        <w:t>naj</w:t>
      </w:r>
      <w:r w:rsidR="00C10C07">
        <w:rPr>
          <w:rFonts w:ascii="Arial" w:hAnsi="Arial" w:cs="Arial"/>
        </w:rPr>
        <w:t>nižšia</w:t>
      </w:r>
      <w:r w:rsidR="00FC41D5" w:rsidRPr="00F11022">
        <w:rPr>
          <w:rFonts w:ascii="Arial" w:hAnsi="Arial" w:cs="Arial"/>
        </w:rPr>
        <w:t xml:space="preserve"> hodnota rastu </w:t>
      </w:r>
      <w:r w:rsidR="00C10C07">
        <w:rPr>
          <w:rFonts w:ascii="Arial" w:hAnsi="Arial" w:cs="Arial"/>
        </w:rPr>
        <w:t>počas roka 2025</w:t>
      </w:r>
      <w:r w:rsidR="00FC41D5" w:rsidRPr="00F11022">
        <w:rPr>
          <w:rFonts w:ascii="Arial" w:hAnsi="Arial" w:cs="Arial"/>
        </w:rPr>
        <w:t>.</w:t>
      </w:r>
      <w:r w:rsidR="00367EE9" w:rsidRPr="00F11022">
        <w:rPr>
          <w:rFonts w:ascii="Arial" w:hAnsi="Arial" w:cs="Arial"/>
        </w:rPr>
        <w:t xml:space="preserve"> </w:t>
      </w:r>
      <w:r w:rsidR="001336DB" w:rsidRPr="00F11022">
        <w:rPr>
          <w:rFonts w:ascii="Arial" w:hAnsi="Arial" w:cs="Arial"/>
        </w:rPr>
        <w:t>Vplyv h</w:t>
      </w:r>
      <w:r w:rsidR="00B570C3" w:rsidRPr="00F11022">
        <w:rPr>
          <w:rFonts w:ascii="Arial" w:hAnsi="Arial" w:cs="Arial"/>
          <w:szCs w:val="22"/>
        </w:rPr>
        <w:t>lavn</w:t>
      </w:r>
      <w:r w:rsidR="001336DB" w:rsidRPr="00F11022">
        <w:rPr>
          <w:rFonts w:ascii="Arial" w:hAnsi="Arial" w:cs="Arial"/>
          <w:szCs w:val="22"/>
        </w:rPr>
        <w:t>ých</w:t>
      </w:r>
      <w:r w:rsidR="00B570C3" w:rsidRPr="00F11022">
        <w:rPr>
          <w:rFonts w:ascii="Arial" w:hAnsi="Arial" w:cs="Arial"/>
          <w:szCs w:val="22"/>
        </w:rPr>
        <w:t xml:space="preserve"> výdavkov</w:t>
      </w:r>
      <w:r w:rsidR="001336DB" w:rsidRPr="00F11022">
        <w:rPr>
          <w:rFonts w:ascii="Arial" w:hAnsi="Arial" w:cs="Arial"/>
          <w:szCs w:val="22"/>
        </w:rPr>
        <w:t>ých</w:t>
      </w:r>
      <w:r w:rsidR="00B570C3" w:rsidRPr="00F11022">
        <w:rPr>
          <w:rFonts w:ascii="Arial" w:hAnsi="Arial" w:cs="Arial"/>
          <w:szCs w:val="22"/>
        </w:rPr>
        <w:t xml:space="preserve"> polož</w:t>
      </w:r>
      <w:r w:rsidR="001336DB" w:rsidRPr="00F11022">
        <w:rPr>
          <w:rFonts w:ascii="Arial" w:hAnsi="Arial" w:cs="Arial"/>
          <w:szCs w:val="22"/>
        </w:rPr>
        <w:t>ie</w:t>
      </w:r>
      <w:r w:rsidR="00B570C3" w:rsidRPr="00F11022">
        <w:rPr>
          <w:rFonts w:ascii="Arial" w:hAnsi="Arial" w:cs="Arial"/>
          <w:szCs w:val="22"/>
        </w:rPr>
        <w:t xml:space="preserve">k slovenských domácností - </w:t>
      </w:r>
      <w:r w:rsidR="004E038C" w:rsidRPr="00F11022">
        <w:rPr>
          <w:rFonts w:ascii="Arial" w:hAnsi="Arial" w:cs="Arial"/>
          <w:szCs w:val="22"/>
        </w:rPr>
        <w:t>potrav</w:t>
      </w:r>
      <w:r w:rsidR="001336DB" w:rsidRPr="00F11022">
        <w:rPr>
          <w:rFonts w:ascii="Arial" w:hAnsi="Arial" w:cs="Arial"/>
          <w:szCs w:val="22"/>
        </w:rPr>
        <w:t>í</w:t>
      </w:r>
      <w:r w:rsidR="004E038C" w:rsidRPr="00F11022">
        <w:rPr>
          <w:rFonts w:ascii="Arial" w:hAnsi="Arial" w:cs="Arial"/>
          <w:szCs w:val="22"/>
        </w:rPr>
        <w:t>n a bývani</w:t>
      </w:r>
      <w:r w:rsidR="001336DB" w:rsidRPr="00F11022">
        <w:rPr>
          <w:rFonts w:ascii="Arial" w:hAnsi="Arial" w:cs="Arial"/>
          <w:szCs w:val="22"/>
        </w:rPr>
        <w:t>a</w:t>
      </w:r>
      <w:r w:rsidR="004E038C" w:rsidRPr="00F11022">
        <w:rPr>
          <w:rFonts w:ascii="Arial" w:hAnsi="Arial" w:cs="Arial"/>
          <w:szCs w:val="22"/>
        </w:rPr>
        <w:t xml:space="preserve"> s energiami, </w:t>
      </w:r>
      <w:r w:rsidR="007B003B" w:rsidRPr="00F11022">
        <w:rPr>
          <w:rFonts w:ascii="Arial" w:hAnsi="Arial" w:cs="Arial"/>
        </w:rPr>
        <w:t xml:space="preserve">ktoré tvoria </w:t>
      </w:r>
      <w:r w:rsidR="005324DA" w:rsidRPr="00F11022">
        <w:rPr>
          <w:rFonts w:ascii="Arial" w:hAnsi="Arial" w:cs="Arial"/>
        </w:rPr>
        <w:t>takmer polovičný</w:t>
      </w:r>
      <w:r w:rsidR="007B003B" w:rsidRPr="00F11022">
        <w:rPr>
          <w:rFonts w:ascii="Arial" w:hAnsi="Arial" w:cs="Arial"/>
        </w:rPr>
        <w:t xml:space="preserve"> podiel v štruktúre výdavkov </w:t>
      </w:r>
      <w:r w:rsidR="005324DA" w:rsidRPr="00F11022">
        <w:rPr>
          <w:rFonts w:ascii="Arial" w:hAnsi="Arial" w:cs="Arial"/>
        </w:rPr>
        <w:t>slovenských domácností</w:t>
      </w:r>
      <w:r w:rsidR="00197615" w:rsidRPr="00F11022">
        <w:rPr>
          <w:rFonts w:ascii="Arial" w:hAnsi="Arial" w:cs="Arial"/>
        </w:rPr>
        <w:t xml:space="preserve">, </w:t>
      </w:r>
      <w:r w:rsidR="0071387B" w:rsidRPr="00F11022">
        <w:rPr>
          <w:rFonts w:ascii="Arial" w:hAnsi="Arial" w:cs="Arial"/>
        </w:rPr>
        <w:t>bol v</w:t>
      </w:r>
      <w:r w:rsidR="00C10C07">
        <w:rPr>
          <w:rFonts w:ascii="Arial" w:hAnsi="Arial" w:cs="Arial"/>
        </w:rPr>
        <w:t>o</w:t>
      </w:r>
      <w:r w:rsidR="0071387B" w:rsidRPr="00F11022">
        <w:rPr>
          <w:rFonts w:ascii="Arial" w:hAnsi="Arial" w:cs="Arial"/>
        </w:rPr>
        <w:t> </w:t>
      </w:r>
      <w:r w:rsidR="00C10C07">
        <w:rPr>
          <w:rFonts w:ascii="Arial" w:hAnsi="Arial" w:cs="Arial"/>
        </w:rPr>
        <w:t>štvrtom</w:t>
      </w:r>
      <w:r w:rsidR="0071387B" w:rsidRPr="00F11022">
        <w:rPr>
          <w:rFonts w:ascii="Arial" w:hAnsi="Arial" w:cs="Arial"/>
        </w:rPr>
        <w:t xml:space="preserve"> štvrťroku </w:t>
      </w:r>
      <w:r w:rsidR="00C10C07">
        <w:rPr>
          <w:rFonts w:ascii="Arial" w:hAnsi="Arial" w:cs="Arial"/>
        </w:rPr>
        <w:t>pri energiách výraznejší, pri potravinách a nealko nápojoch naopak miernejší</w:t>
      </w:r>
      <w:r w:rsidR="00FB5905" w:rsidRPr="00F11022">
        <w:rPr>
          <w:rFonts w:ascii="Arial" w:hAnsi="Arial" w:cs="Arial"/>
        </w:rPr>
        <w:t xml:space="preserve"> ako v predošlých štvrťrokoch</w:t>
      </w:r>
      <w:r w:rsidR="00197615" w:rsidRPr="00F11022">
        <w:rPr>
          <w:rFonts w:ascii="Arial" w:hAnsi="Arial" w:cs="Arial"/>
        </w:rPr>
        <w:t>.</w:t>
      </w:r>
      <w:r w:rsidR="0071387B" w:rsidRPr="00F11022">
        <w:rPr>
          <w:rFonts w:ascii="Arial" w:hAnsi="Arial" w:cs="Arial"/>
        </w:rPr>
        <w:t xml:space="preserve"> Ceny rástli vo všetkých 12 odboroch.</w:t>
      </w:r>
      <w:r w:rsidR="00DD479B" w:rsidRPr="00F11022">
        <w:rPr>
          <w:rFonts w:ascii="Arial" w:hAnsi="Arial" w:cs="Arial"/>
        </w:rPr>
        <w:t xml:space="preserve"> </w:t>
      </w:r>
    </w:p>
    <w:p w14:paraId="2077DD30" w14:textId="5A606986" w:rsidR="0058494A" w:rsidRPr="00F11022" w:rsidRDefault="0058494A" w:rsidP="0058494A">
      <w:pPr>
        <w:tabs>
          <w:tab w:val="left" w:pos="426"/>
        </w:tabs>
        <w:spacing w:after="100"/>
        <w:ind w:firstLine="284"/>
        <w:rPr>
          <w:rFonts w:ascii="Arial" w:hAnsi="Arial" w:cs="Arial"/>
        </w:rPr>
      </w:pPr>
      <w:r w:rsidRPr="00F11022">
        <w:rPr>
          <w:rFonts w:ascii="Arial" w:hAnsi="Arial" w:cs="Arial"/>
        </w:rPr>
        <w:t>Medziročný rast cien</w:t>
      </w:r>
      <w:r w:rsidRPr="00F11022">
        <w:rPr>
          <w:rFonts w:ascii="Arial" w:hAnsi="Arial" w:cs="Arial"/>
          <w:b/>
          <w:bCs/>
        </w:rPr>
        <w:t xml:space="preserve"> p</w:t>
      </w:r>
      <w:r w:rsidRPr="00F11022">
        <w:rPr>
          <w:rFonts w:ascii="Arial" w:hAnsi="Arial" w:cs="Arial"/>
          <w:b/>
        </w:rPr>
        <w:t>otravín</w:t>
      </w:r>
      <w:r w:rsidRPr="00F11022">
        <w:rPr>
          <w:rFonts w:ascii="Arial" w:hAnsi="Arial" w:cs="Arial"/>
        </w:rPr>
        <w:t xml:space="preserve"> sa v</w:t>
      </w:r>
      <w:r w:rsidR="00C10C07">
        <w:rPr>
          <w:rFonts w:ascii="Arial" w:hAnsi="Arial" w:cs="Arial"/>
        </w:rPr>
        <w:t>o</w:t>
      </w:r>
      <w:r w:rsidRPr="00F11022">
        <w:rPr>
          <w:rFonts w:ascii="Arial" w:hAnsi="Arial" w:cs="Arial"/>
        </w:rPr>
        <w:t> </w:t>
      </w:r>
      <w:r w:rsidR="00C10C07">
        <w:rPr>
          <w:rFonts w:ascii="Arial" w:hAnsi="Arial" w:cs="Arial"/>
        </w:rPr>
        <w:t>4</w:t>
      </w:r>
      <w:r w:rsidRPr="00F11022">
        <w:rPr>
          <w:rFonts w:ascii="Arial" w:hAnsi="Arial" w:cs="Arial"/>
        </w:rPr>
        <w:t xml:space="preserve">. štvrťroku </w:t>
      </w:r>
      <w:r w:rsidR="00C10C07">
        <w:rPr>
          <w:rFonts w:ascii="Arial" w:hAnsi="Arial" w:cs="Arial"/>
        </w:rPr>
        <w:t>výrazne spomalil</w:t>
      </w:r>
      <w:r w:rsidRPr="00F11022">
        <w:rPr>
          <w:rFonts w:ascii="Arial" w:hAnsi="Arial" w:cs="Arial"/>
        </w:rPr>
        <w:t xml:space="preserve">, </w:t>
      </w:r>
      <w:r w:rsidR="00B87479">
        <w:rPr>
          <w:rFonts w:ascii="Arial" w:hAnsi="Arial" w:cs="Arial"/>
        </w:rPr>
        <w:t xml:space="preserve">dosiahol </w:t>
      </w:r>
      <w:r w:rsidR="00F11022" w:rsidRPr="00F11022">
        <w:rPr>
          <w:rFonts w:ascii="Arial" w:hAnsi="Arial" w:cs="Arial"/>
        </w:rPr>
        <w:t>úrov</w:t>
      </w:r>
      <w:r w:rsidR="00B87479">
        <w:rPr>
          <w:rFonts w:ascii="Arial" w:hAnsi="Arial" w:cs="Arial"/>
        </w:rPr>
        <w:t>eň</w:t>
      </w:r>
      <w:r w:rsidRPr="00F11022">
        <w:rPr>
          <w:rFonts w:ascii="Arial" w:hAnsi="Arial" w:cs="Arial"/>
        </w:rPr>
        <w:t> </w:t>
      </w:r>
      <w:r w:rsidR="00C10C07">
        <w:rPr>
          <w:rFonts w:ascii="Arial" w:hAnsi="Arial" w:cs="Arial"/>
        </w:rPr>
        <w:t>tesne nad nulou, 0,1 </w:t>
      </w:r>
      <w:r w:rsidRPr="00F11022">
        <w:rPr>
          <w:rFonts w:ascii="Arial" w:hAnsi="Arial" w:cs="Arial"/>
        </w:rPr>
        <w:t>%</w:t>
      </w:r>
      <w:r w:rsidR="00C10C07">
        <w:rPr>
          <w:rFonts w:ascii="Arial" w:hAnsi="Arial" w:cs="Arial"/>
        </w:rPr>
        <w:t xml:space="preserve">, pričom v 3. štvrťroku bol ešte na úrovni </w:t>
      </w:r>
      <w:r w:rsidR="00F13287">
        <w:rPr>
          <w:rFonts w:ascii="Arial" w:hAnsi="Arial" w:cs="Arial"/>
        </w:rPr>
        <w:t>2,6</w:t>
      </w:r>
      <w:r w:rsidR="00C10C07">
        <w:rPr>
          <w:rFonts w:ascii="Arial" w:hAnsi="Arial" w:cs="Arial"/>
        </w:rPr>
        <w:t> </w:t>
      </w:r>
      <w:r w:rsidR="00FC41D5" w:rsidRPr="00F11022">
        <w:rPr>
          <w:rFonts w:ascii="Arial" w:hAnsi="Arial" w:cs="Arial"/>
        </w:rPr>
        <w:t>%</w:t>
      </w:r>
      <w:r w:rsidRPr="00F11022">
        <w:rPr>
          <w:rFonts w:ascii="Arial" w:hAnsi="Arial" w:cs="Arial"/>
        </w:rPr>
        <w:t>. Rástl</w:t>
      </w:r>
      <w:r w:rsidR="00C10C07">
        <w:rPr>
          <w:rFonts w:ascii="Arial" w:hAnsi="Arial" w:cs="Arial"/>
        </w:rPr>
        <w:t>i</w:t>
      </w:r>
      <w:r w:rsidRPr="00F11022">
        <w:rPr>
          <w:rFonts w:ascii="Arial" w:hAnsi="Arial" w:cs="Arial"/>
        </w:rPr>
        <w:t xml:space="preserve"> </w:t>
      </w:r>
      <w:r w:rsidR="00C10C07">
        <w:rPr>
          <w:rFonts w:ascii="Arial" w:hAnsi="Arial" w:cs="Arial"/>
        </w:rPr>
        <w:t>iba 4</w:t>
      </w:r>
      <w:r w:rsidRPr="00F11022">
        <w:rPr>
          <w:rFonts w:ascii="Arial" w:hAnsi="Arial" w:cs="Arial"/>
        </w:rPr>
        <w:t xml:space="preserve"> z 9 potravinových položiek. Najvýraznejš</w:t>
      </w:r>
      <w:r w:rsidR="00F11022" w:rsidRPr="00F11022">
        <w:rPr>
          <w:rFonts w:ascii="Arial" w:hAnsi="Arial" w:cs="Arial"/>
        </w:rPr>
        <w:t>í</w:t>
      </w:r>
      <w:r w:rsidRPr="00F11022">
        <w:rPr>
          <w:rFonts w:ascii="Arial" w:hAnsi="Arial" w:cs="Arial"/>
        </w:rPr>
        <w:t xml:space="preserve"> rast cien </w:t>
      </w:r>
      <w:r w:rsidR="00F11022" w:rsidRPr="00F11022">
        <w:rPr>
          <w:rFonts w:ascii="Arial" w:hAnsi="Arial" w:cs="Arial"/>
        </w:rPr>
        <w:t xml:space="preserve">na </w:t>
      </w:r>
      <w:r w:rsidR="00C10C07">
        <w:rPr>
          <w:rFonts w:ascii="Arial" w:hAnsi="Arial" w:cs="Arial"/>
        </w:rPr>
        <w:t>úrovni takmer 5</w:t>
      </w:r>
      <w:r w:rsidR="00F11022" w:rsidRPr="00F11022">
        <w:rPr>
          <w:rFonts w:ascii="Arial" w:hAnsi="Arial" w:cs="Arial"/>
        </w:rPr>
        <w:t xml:space="preserve"> % </w:t>
      </w:r>
      <w:r w:rsidRPr="00F11022">
        <w:rPr>
          <w:rFonts w:ascii="Arial" w:hAnsi="Arial" w:cs="Arial"/>
        </w:rPr>
        <w:t xml:space="preserve">bol pri </w:t>
      </w:r>
      <w:r w:rsidR="00F11022" w:rsidRPr="00F11022">
        <w:rPr>
          <w:rFonts w:ascii="Arial" w:hAnsi="Arial" w:cs="Arial"/>
        </w:rPr>
        <w:t>mlieku, syroch a vajciach.</w:t>
      </w:r>
      <w:r w:rsidRPr="00F11022">
        <w:rPr>
          <w:rFonts w:ascii="Arial" w:hAnsi="Arial" w:cs="Arial"/>
        </w:rPr>
        <w:t xml:space="preserve"> Zvýšenie </w:t>
      </w:r>
      <w:r w:rsidR="00C10C07">
        <w:rPr>
          <w:rFonts w:ascii="Arial" w:hAnsi="Arial" w:cs="Arial"/>
        </w:rPr>
        <w:t>do</w:t>
      </w:r>
      <w:r w:rsidRPr="00F11022">
        <w:rPr>
          <w:rFonts w:ascii="Arial" w:hAnsi="Arial" w:cs="Arial"/>
        </w:rPr>
        <w:t xml:space="preserve"> </w:t>
      </w:r>
      <w:r w:rsidR="00C10C07">
        <w:rPr>
          <w:rFonts w:ascii="Arial" w:hAnsi="Arial" w:cs="Arial"/>
        </w:rPr>
        <w:t>2</w:t>
      </w:r>
      <w:r w:rsidRPr="00F11022">
        <w:rPr>
          <w:rFonts w:ascii="Arial" w:hAnsi="Arial" w:cs="Arial"/>
        </w:rPr>
        <w:t xml:space="preserve"> % </w:t>
      </w:r>
      <w:r w:rsidR="00C10C07">
        <w:rPr>
          <w:rFonts w:ascii="Arial" w:hAnsi="Arial" w:cs="Arial"/>
        </w:rPr>
        <w:t>evidoval aj chlieb a obilniny, ryby a potravinárske výrobky</w:t>
      </w:r>
      <w:r w:rsidR="00FC41D5" w:rsidRPr="00F11022">
        <w:rPr>
          <w:rFonts w:ascii="Arial" w:hAnsi="Arial" w:cs="Arial"/>
        </w:rPr>
        <w:t>.</w:t>
      </w:r>
      <w:r w:rsidRPr="00F11022">
        <w:rPr>
          <w:rFonts w:ascii="Arial" w:hAnsi="Arial" w:cs="Arial"/>
        </w:rPr>
        <w:t xml:space="preserve"> </w:t>
      </w:r>
      <w:r w:rsidR="00C10C07">
        <w:rPr>
          <w:rFonts w:ascii="Arial" w:hAnsi="Arial" w:cs="Arial"/>
        </w:rPr>
        <w:t xml:space="preserve">Najvýraznejšie zlacnenie bolo pri </w:t>
      </w:r>
      <w:r w:rsidRPr="00F11022">
        <w:rPr>
          <w:rFonts w:ascii="Arial" w:hAnsi="Arial" w:cs="Arial"/>
        </w:rPr>
        <w:t xml:space="preserve"> </w:t>
      </w:r>
      <w:r w:rsidR="00CC5F4C" w:rsidRPr="00F11022">
        <w:rPr>
          <w:rFonts w:ascii="Arial" w:hAnsi="Arial" w:cs="Arial"/>
        </w:rPr>
        <w:t>zelenin</w:t>
      </w:r>
      <w:r w:rsidR="00C10C07">
        <w:rPr>
          <w:rFonts w:ascii="Arial" w:hAnsi="Arial" w:cs="Arial"/>
        </w:rPr>
        <w:t>e o 8,4 %, ceny olejov a tukov boli nižšie o 3,5 %</w:t>
      </w:r>
      <w:r w:rsidRPr="00F11022">
        <w:rPr>
          <w:rFonts w:ascii="Arial" w:hAnsi="Arial" w:cs="Arial"/>
        </w:rPr>
        <w:t>.</w:t>
      </w:r>
    </w:p>
    <w:p w14:paraId="6174ADE8" w14:textId="77777777" w:rsidR="0092002B" w:rsidRDefault="0092002B" w:rsidP="0058494A">
      <w:pPr>
        <w:tabs>
          <w:tab w:val="left" w:pos="426"/>
        </w:tabs>
        <w:spacing w:after="100"/>
        <w:ind w:firstLine="284"/>
        <w:rPr>
          <w:rFonts w:ascii="Arial" w:hAnsi="Arial" w:cs="Arial"/>
          <w:bCs/>
        </w:rPr>
      </w:pPr>
    </w:p>
    <w:p w14:paraId="5596D937" w14:textId="46C3CC68" w:rsidR="008A41D2" w:rsidRDefault="00921A29" w:rsidP="0058494A">
      <w:pPr>
        <w:tabs>
          <w:tab w:val="left" w:pos="426"/>
        </w:tabs>
        <w:spacing w:after="100"/>
        <w:ind w:firstLine="284"/>
        <w:rPr>
          <w:rFonts w:ascii="Arial" w:hAnsi="Arial" w:cs="Arial"/>
          <w:color w:val="FF0000"/>
          <w:szCs w:val="22"/>
        </w:rPr>
      </w:pPr>
      <w:r>
        <w:rPr>
          <w:noProof/>
        </w:rPr>
        <w:lastRenderedPageBreak/>
        <w:drawing>
          <wp:inline distT="0" distB="0" distL="0" distR="0" wp14:anchorId="608589BF" wp14:editId="7E0247AA">
            <wp:extent cx="5505451" cy="3857626"/>
            <wp:effectExtent l="0" t="0" r="0" b="9525"/>
            <wp:docPr id="2084101233" name="Graf 1">
              <a:extLst xmlns:a="http://schemas.openxmlformats.org/drawingml/2006/main">
                <a:ext uri="{FF2B5EF4-FFF2-40B4-BE49-F238E27FC236}">
                  <a16:creationId xmlns:a16="http://schemas.microsoft.com/office/drawing/2014/main" id="{79E7ABC7-EDC9-207D-7420-812C03DA7C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163B06" w:rsidRPr="00044DD7">
        <w:rPr>
          <w:rFonts w:ascii="Arial" w:hAnsi="Arial" w:cs="Arial"/>
          <w:color w:val="FF0000"/>
          <w:szCs w:val="22"/>
        </w:rPr>
        <w:tab/>
      </w:r>
    </w:p>
    <w:p w14:paraId="69269725" w14:textId="63471171" w:rsidR="00736AD0" w:rsidRPr="00260B74" w:rsidRDefault="00260B74" w:rsidP="0058494A">
      <w:pPr>
        <w:tabs>
          <w:tab w:val="left" w:pos="426"/>
        </w:tabs>
        <w:spacing w:after="100"/>
        <w:ind w:firstLine="284"/>
        <w:rPr>
          <w:rFonts w:ascii="Arial" w:hAnsi="Arial" w:cs="Arial"/>
          <w:bCs/>
        </w:rPr>
      </w:pPr>
      <w:r w:rsidRPr="00260B74">
        <w:rPr>
          <w:rFonts w:ascii="Arial" w:hAnsi="Arial" w:cs="Arial"/>
          <w:szCs w:val="22"/>
        </w:rPr>
        <w:t xml:space="preserve">Z ostatných odborov bol </w:t>
      </w:r>
      <w:r w:rsidR="00C10C07">
        <w:rPr>
          <w:rFonts w:ascii="Arial" w:hAnsi="Arial" w:cs="Arial"/>
          <w:szCs w:val="22"/>
        </w:rPr>
        <w:t xml:space="preserve">najvýraznejší </w:t>
      </w:r>
      <w:r w:rsidR="00F8364C">
        <w:rPr>
          <w:rFonts w:ascii="Arial" w:hAnsi="Arial" w:cs="Arial"/>
          <w:szCs w:val="22"/>
        </w:rPr>
        <w:t xml:space="preserve">medziročný </w:t>
      </w:r>
      <w:r w:rsidRPr="00260B74">
        <w:rPr>
          <w:rFonts w:ascii="Arial" w:hAnsi="Arial" w:cs="Arial"/>
          <w:szCs w:val="22"/>
        </w:rPr>
        <w:t xml:space="preserve">rast cien </w:t>
      </w:r>
      <w:r w:rsidR="00736AD0" w:rsidRPr="00260B74">
        <w:rPr>
          <w:rFonts w:ascii="Arial" w:hAnsi="Arial" w:cs="Arial"/>
          <w:szCs w:val="22"/>
        </w:rPr>
        <w:t>v</w:t>
      </w:r>
      <w:r w:rsidR="00C10C07">
        <w:rPr>
          <w:rFonts w:ascii="Arial" w:hAnsi="Arial" w:cs="Arial"/>
          <w:szCs w:val="22"/>
        </w:rPr>
        <w:t xml:space="preserve"> reštauráciách a </w:t>
      </w:r>
      <w:r w:rsidR="00032DCB">
        <w:rPr>
          <w:rFonts w:ascii="Arial" w:hAnsi="Arial" w:cs="Arial"/>
          <w:szCs w:val="22"/>
        </w:rPr>
        <w:t>hoteloch</w:t>
      </w:r>
      <w:r w:rsidR="00F8364C" w:rsidRPr="00F8364C">
        <w:rPr>
          <w:rFonts w:ascii="Arial" w:hAnsi="Arial" w:cs="Arial"/>
          <w:szCs w:val="22"/>
        </w:rPr>
        <w:t xml:space="preserve"> </w:t>
      </w:r>
      <w:r w:rsidR="00F8364C" w:rsidRPr="00260B74">
        <w:rPr>
          <w:rFonts w:ascii="Arial" w:hAnsi="Arial" w:cs="Arial"/>
          <w:szCs w:val="22"/>
        </w:rPr>
        <w:t>na</w:t>
      </w:r>
      <w:r w:rsidR="00F8364C">
        <w:rPr>
          <w:rFonts w:ascii="Arial" w:hAnsi="Arial" w:cs="Arial"/>
          <w:szCs w:val="22"/>
        </w:rPr>
        <w:t xml:space="preserve"> úrovni</w:t>
      </w:r>
      <w:r w:rsidR="00F8364C" w:rsidRPr="00260B74">
        <w:rPr>
          <w:rFonts w:ascii="Arial" w:hAnsi="Arial" w:cs="Arial"/>
          <w:szCs w:val="22"/>
        </w:rPr>
        <w:t xml:space="preserve"> 9 %</w:t>
      </w:r>
      <w:r w:rsidR="00736AD0" w:rsidRPr="00260B74">
        <w:rPr>
          <w:rFonts w:ascii="Arial" w:hAnsi="Arial" w:cs="Arial"/>
          <w:szCs w:val="22"/>
        </w:rPr>
        <w:t xml:space="preserve">. Ceny o viac ako 6 % vzrástli </w:t>
      </w:r>
      <w:r w:rsidR="00F8364C">
        <w:rPr>
          <w:rFonts w:ascii="Arial" w:hAnsi="Arial" w:cs="Arial"/>
          <w:szCs w:val="22"/>
        </w:rPr>
        <w:t xml:space="preserve">aj </w:t>
      </w:r>
      <w:r w:rsidR="00736AD0" w:rsidRPr="00260B74">
        <w:rPr>
          <w:rFonts w:ascii="Arial" w:hAnsi="Arial" w:cs="Arial"/>
          <w:szCs w:val="22"/>
        </w:rPr>
        <w:t>v </w:t>
      </w:r>
      <w:r w:rsidRPr="00260B74">
        <w:rPr>
          <w:rFonts w:ascii="Arial" w:hAnsi="Arial" w:cs="Arial"/>
          <w:szCs w:val="22"/>
        </w:rPr>
        <w:t>dvoch</w:t>
      </w:r>
      <w:r w:rsidR="00736AD0" w:rsidRPr="00260B74">
        <w:rPr>
          <w:rFonts w:ascii="Arial" w:hAnsi="Arial" w:cs="Arial"/>
          <w:szCs w:val="22"/>
        </w:rPr>
        <w:t xml:space="preserve"> odboroch, a to </w:t>
      </w:r>
      <w:r w:rsidR="00F8364C">
        <w:rPr>
          <w:rFonts w:ascii="Arial" w:hAnsi="Arial" w:cs="Arial"/>
          <w:szCs w:val="22"/>
        </w:rPr>
        <w:t xml:space="preserve">vo vzdelávaní a pri </w:t>
      </w:r>
      <w:r w:rsidR="00736AD0" w:rsidRPr="00260B74">
        <w:rPr>
          <w:rFonts w:ascii="Arial" w:hAnsi="Arial" w:cs="Arial"/>
          <w:szCs w:val="22"/>
        </w:rPr>
        <w:t>rozličn</w:t>
      </w:r>
      <w:r w:rsidR="00F8364C">
        <w:rPr>
          <w:rFonts w:ascii="Arial" w:hAnsi="Arial" w:cs="Arial"/>
          <w:szCs w:val="22"/>
        </w:rPr>
        <w:t>ých</w:t>
      </w:r>
      <w:r w:rsidR="00736AD0" w:rsidRPr="00260B74">
        <w:rPr>
          <w:rFonts w:ascii="Arial" w:hAnsi="Arial" w:cs="Arial"/>
          <w:szCs w:val="22"/>
        </w:rPr>
        <w:t xml:space="preserve"> tovar</w:t>
      </w:r>
      <w:r w:rsidR="00F8364C">
        <w:rPr>
          <w:rFonts w:ascii="Arial" w:hAnsi="Arial" w:cs="Arial"/>
          <w:szCs w:val="22"/>
        </w:rPr>
        <w:t>och</w:t>
      </w:r>
      <w:r w:rsidR="00736AD0" w:rsidRPr="00260B74">
        <w:rPr>
          <w:rFonts w:ascii="Arial" w:hAnsi="Arial" w:cs="Arial"/>
          <w:szCs w:val="22"/>
        </w:rPr>
        <w:t xml:space="preserve"> a</w:t>
      </w:r>
      <w:r w:rsidRPr="00260B74">
        <w:rPr>
          <w:rFonts w:ascii="Arial" w:hAnsi="Arial" w:cs="Arial"/>
          <w:szCs w:val="22"/>
        </w:rPr>
        <w:t> </w:t>
      </w:r>
      <w:r w:rsidR="00736AD0" w:rsidRPr="00260B74">
        <w:rPr>
          <w:rFonts w:ascii="Arial" w:hAnsi="Arial" w:cs="Arial"/>
          <w:szCs w:val="22"/>
        </w:rPr>
        <w:t>služb</w:t>
      </w:r>
      <w:r w:rsidR="00F8364C">
        <w:rPr>
          <w:rFonts w:ascii="Arial" w:hAnsi="Arial" w:cs="Arial"/>
          <w:szCs w:val="22"/>
        </w:rPr>
        <w:t>ách</w:t>
      </w:r>
      <w:r w:rsidRPr="00260B74">
        <w:rPr>
          <w:rFonts w:ascii="Arial" w:hAnsi="Arial" w:cs="Arial"/>
          <w:szCs w:val="22"/>
        </w:rPr>
        <w:t>.</w:t>
      </w:r>
      <w:r w:rsidR="00736AD0" w:rsidRPr="00260B74">
        <w:rPr>
          <w:rFonts w:ascii="Arial" w:hAnsi="Arial" w:cs="Arial"/>
          <w:szCs w:val="22"/>
        </w:rPr>
        <w:t xml:space="preserve"> </w:t>
      </w:r>
      <w:r w:rsidR="00736AD0" w:rsidRPr="00260B74">
        <w:rPr>
          <w:rFonts w:ascii="Arial" w:hAnsi="Arial" w:cs="Arial"/>
          <w:bCs/>
        </w:rPr>
        <w:t xml:space="preserve">Do 3 % </w:t>
      </w:r>
      <w:r w:rsidR="00F8364C">
        <w:rPr>
          <w:rFonts w:ascii="Arial" w:hAnsi="Arial" w:cs="Arial"/>
          <w:bCs/>
        </w:rPr>
        <w:t>vyššie</w:t>
      </w:r>
      <w:r w:rsidR="00736AD0" w:rsidRPr="00260B74">
        <w:rPr>
          <w:rFonts w:ascii="Arial" w:hAnsi="Arial" w:cs="Arial"/>
          <w:bCs/>
        </w:rPr>
        <w:t xml:space="preserve"> ceny </w:t>
      </w:r>
      <w:r w:rsidR="00F8364C">
        <w:rPr>
          <w:rFonts w:ascii="Arial" w:hAnsi="Arial" w:cs="Arial"/>
          <w:bCs/>
        </w:rPr>
        <w:t xml:space="preserve">boli </w:t>
      </w:r>
      <w:r w:rsidR="00736AD0" w:rsidRPr="00260B74">
        <w:rPr>
          <w:rFonts w:ascii="Arial" w:hAnsi="Arial" w:cs="Arial"/>
          <w:bCs/>
        </w:rPr>
        <w:t>v odbor</w:t>
      </w:r>
      <w:r w:rsidRPr="00260B74">
        <w:rPr>
          <w:rFonts w:ascii="Arial" w:hAnsi="Arial" w:cs="Arial"/>
          <w:bCs/>
        </w:rPr>
        <w:t>och</w:t>
      </w:r>
      <w:r w:rsidR="00736AD0" w:rsidRPr="00260B74">
        <w:rPr>
          <w:rFonts w:ascii="Arial" w:hAnsi="Arial" w:cs="Arial"/>
          <w:bCs/>
        </w:rPr>
        <w:t xml:space="preserve"> </w:t>
      </w:r>
      <w:r w:rsidR="00F8364C" w:rsidRPr="00F8364C">
        <w:rPr>
          <w:rFonts w:ascii="Arial" w:hAnsi="Arial" w:cs="Arial"/>
          <w:bCs/>
        </w:rPr>
        <w:t>bývanie, voda, elektrina a</w:t>
      </w:r>
      <w:r w:rsidR="00F8364C">
        <w:rPr>
          <w:rFonts w:ascii="Arial" w:hAnsi="Arial" w:cs="Arial"/>
          <w:bCs/>
        </w:rPr>
        <w:t> </w:t>
      </w:r>
      <w:r w:rsidR="00F8364C" w:rsidRPr="00F8364C">
        <w:rPr>
          <w:rFonts w:ascii="Arial" w:hAnsi="Arial" w:cs="Arial"/>
          <w:bCs/>
        </w:rPr>
        <w:t>plyn</w:t>
      </w:r>
      <w:r w:rsidR="00F8364C">
        <w:rPr>
          <w:rFonts w:ascii="Arial" w:hAnsi="Arial" w:cs="Arial"/>
          <w:bCs/>
        </w:rPr>
        <w:t>,</w:t>
      </w:r>
      <w:r w:rsidR="00F8364C" w:rsidRPr="00F8364C">
        <w:rPr>
          <w:rFonts w:ascii="Arial" w:hAnsi="Arial" w:cs="Arial"/>
          <w:bCs/>
        </w:rPr>
        <w:t xml:space="preserve"> </w:t>
      </w:r>
      <w:r w:rsidRPr="00260B74">
        <w:rPr>
          <w:rFonts w:ascii="Arial" w:hAnsi="Arial" w:cs="Arial"/>
          <w:bCs/>
        </w:rPr>
        <w:t>zdravotníctvo</w:t>
      </w:r>
      <w:r w:rsidR="00F8364C">
        <w:rPr>
          <w:rFonts w:ascii="Arial" w:hAnsi="Arial" w:cs="Arial"/>
          <w:bCs/>
        </w:rPr>
        <w:t xml:space="preserve">, obuv s odevmi a tiež nábytok s bytovým zariadením a údržbou domácnosti.  </w:t>
      </w:r>
    </w:p>
    <w:p w14:paraId="08D2944B" w14:textId="072E54D4" w:rsidR="007C1872" w:rsidRPr="00C64C13" w:rsidRDefault="007C1872" w:rsidP="00736AD0">
      <w:pPr>
        <w:tabs>
          <w:tab w:val="left" w:pos="426"/>
        </w:tabs>
        <w:spacing w:before="240"/>
        <w:rPr>
          <w:rFonts w:ascii="Arial" w:hAnsi="Arial"/>
          <w:b/>
          <w:szCs w:val="22"/>
        </w:rPr>
      </w:pPr>
      <w:r w:rsidRPr="00C64C13">
        <w:rPr>
          <w:rFonts w:ascii="Arial" w:hAnsi="Arial"/>
          <w:b/>
          <w:szCs w:val="22"/>
        </w:rPr>
        <w:t>3.2 Ceny výrobcov</w:t>
      </w:r>
      <w:r w:rsidR="00DD479B">
        <w:rPr>
          <w:rFonts w:ascii="Arial" w:hAnsi="Arial"/>
          <w:b/>
          <w:szCs w:val="22"/>
        </w:rPr>
        <w:t xml:space="preserve"> </w:t>
      </w:r>
    </w:p>
    <w:p w14:paraId="118FC18A" w14:textId="34047445" w:rsidR="007C1872" w:rsidRPr="00C64C13" w:rsidRDefault="00DD479B" w:rsidP="009F4B5C">
      <w:pPr>
        <w:tabs>
          <w:tab w:val="left" w:pos="426"/>
        </w:tabs>
        <w:rPr>
          <w:rFonts w:ascii="Arial" w:hAnsi="Arial"/>
          <w:sz w:val="20"/>
        </w:rPr>
      </w:pPr>
      <w:r>
        <w:rPr>
          <w:rFonts w:ascii="Arial" w:hAnsi="Arial"/>
        </w:rPr>
        <w:t xml:space="preserve">   </w:t>
      </w:r>
      <w:r w:rsidR="007C1872" w:rsidRPr="00C64C13">
        <w:rPr>
          <w:rFonts w:ascii="Arial" w:hAnsi="Arial"/>
          <w:sz w:val="20"/>
        </w:rPr>
        <w:t xml:space="preserve">(tab. </w:t>
      </w:r>
      <w:r w:rsidR="00CB648F" w:rsidRPr="00C64C13">
        <w:rPr>
          <w:rFonts w:ascii="Arial" w:hAnsi="Arial"/>
          <w:sz w:val="20"/>
        </w:rPr>
        <w:t>T1</w:t>
      </w:r>
      <w:r w:rsidR="007C1872" w:rsidRPr="00C64C13">
        <w:rPr>
          <w:rFonts w:ascii="Arial" w:hAnsi="Arial"/>
          <w:sz w:val="20"/>
        </w:rPr>
        <w:t xml:space="preserve">, </w:t>
      </w:r>
      <w:r w:rsidR="00CB648F" w:rsidRPr="00C64C13">
        <w:rPr>
          <w:rFonts w:ascii="Arial" w:hAnsi="Arial"/>
          <w:sz w:val="20"/>
        </w:rPr>
        <w:t>T</w:t>
      </w:r>
      <w:r w:rsidR="007C1872" w:rsidRPr="00C64C13">
        <w:rPr>
          <w:rFonts w:ascii="Arial" w:hAnsi="Arial"/>
          <w:sz w:val="20"/>
        </w:rPr>
        <w:t xml:space="preserve">2, </w:t>
      </w:r>
      <w:r w:rsidR="00CB648F" w:rsidRPr="00C64C13">
        <w:rPr>
          <w:rFonts w:ascii="Arial" w:hAnsi="Arial"/>
          <w:sz w:val="20"/>
        </w:rPr>
        <w:t>T</w:t>
      </w:r>
      <w:r w:rsidR="003A663A">
        <w:rPr>
          <w:rFonts w:ascii="Arial" w:hAnsi="Arial"/>
          <w:sz w:val="20"/>
        </w:rPr>
        <w:t>20</w:t>
      </w:r>
      <w:r w:rsidR="007C1872" w:rsidRPr="00C64C13">
        <w:rPr>
          <w:rFonts w:ascii="Arial" w:hAnsi="Arial"/>
          <w:sz w:val="20"/>
        </w:rPr>
        <w:t xml:space="preserve">, </w:t>
      </w:r>
      <w:r w:rsidR="00CB648F" w:rsidRPr="00C64C13">
        <w:rPr>
          <w:rFonts w:ascii="Arial" w:hAnsi="Arial"/>
          <w:sz w:val="20"/>
        </w:rPr>
        <w:t>T</w:t>
      </w:r>
      <w:r w:rsidR="007C1872" w:rsidRPr="00C64C13">
        <w:rPr>
          <w:rFonts w:ascii="Arial" w:hAnsi="Arial"/>
          <w:sz w:val="20"/>
        </w:rPr>
        <w:t>2</w:t>
      </w:r>
      <w:r w:rsidR="003A663A">
        <w:rPr>
          <w:rFonts w:ascii="Arial" w:hAnsi="Arial"/>
          <w:sz w:val="20"/>
        </w:rPr>
        <w:t>1</w:t>
      </w:r>
      <w:r w:rsidR="007C1872" w:rsidRPr="00C64C13">
        <w:rPr>
          <w:rFonts w:ascii="Arial" w:hAnsi="Arial"/>
          <w:sz w:val="20"/>
        </w:rPr>
        <w:t>)</w:t>
      </w:r>
    </w:p>
    <w:p w14:paraId="530078C3" w14:textId="3E061482" w:rsidR="007C1872" w:rsidRPr="00C64C13" w:rsidRDefault="00DD479B" w:rsidP="009F4B5C">
      <w:pPr>
        <w:tabs>
          <w:tab w:val="left" w:pos="426"/>
        </w:tabs>
        <w:ind w:firstLine="284"/>
        <w:rPr>
          <w:rFonts w:ascii="Arial" w:hAnsi="Arial" w:cs="Arial"/>
          <w:sz w:val="12"/>
          <w:szCs w:val="12"/>
        </w:rPr>
      </w:pPr>
      <w:r>
        <w:rPr>
          <w:rFonts w:ascii="Arial" w:hAnsi="Arial" w:cs="Arial"/>
          <w:sz w:val="12"/>
          <w:szCs w:val="12"/>
        </w:rPr>
        <w:t xml:space="preserve"> </w:t>
      </w:r>
    </w:p>
    <w:p w14:paraId="37D7154A" w14:textId="16CE4E7E" w:rsidR="00284D73" w:rsidRDefault="00284D73" w:rsidP="00284D73">
      <w:pPr>
        <w:spacing w:after="100"/>
        <w:rPr>
          <w:rFonts w:ascii="Arial" w:hAnsi="Arial" w:cs="Arial"/>
          <w:szCs w:val="22"/>
        </w:rPr>
      </w:pPr>
      <w:r>
        <w:rPr>
          <w:rFonts w:ascii="Arial" w:hAnsi="Arial" w:cs="Arial"/>
          <w:szCs w:val="22"/>
        </w:rPr>
        <w:tab/>
      </w:r>
      <w:r w:rsidRPr="006C53C4">
        <w:rPr>
          <w:rFonts w:ascii="Arial" w:hAnsi="Arial" w:cs="Arial"/>
          <w:szCs w:val="22"/>
        </w:rPr>
        <w:t xml:space="preserve">Ceny </w:t>
      </w:r>
      <w:r w:rsidRPr="006C53C4">
        <w:rPr>
          <w:rFonts w:ascii="Arial" w:hAnsi="Arial" w:cs="Arial"/>
          <w:b/>
          <w:bCs/>
          <w:szCs w:val="22"/>
        </w:rPr>
        <w:t>priemyselných výrobcov</w:t>
      </w:r>
      <w:r w:rsidRPr="006C53C4">
        <w:rPr>
          <w:rFonts w:ascii="Arial" w:hAnsi="Arial" w:cs="Arial"/>
          <w:szCs w:val="22"/>
        </w:rPr>
        <w:t xml:space="preserve"> </w:t>
      </w:r>
      <w:r w:rsidRPr="00045981">
        <w:rPr>
          <w:rFonts w:ascii="Arial" w:hAnsi="Arial" w:cs="Arial"/>
          <w:b/>
          <w:bCs/>
          <w:szCs w:val="22"/>
        </w:rPr>
        <w:t>pre</w:t>
      </w:r>
      <w:r w:rsidRPr="006C53C4">
        <w:rPr>
          <w:rFonts w:ascii="Arial" w:hAnsi="Arial" w:cs="Arial"/>
          <w:b/>
          <w:bCs/>
          <w:szCs w:val="22"/>
        </w:rPr>
        <w:t xml:space="preserve"> domác</w:t>
      </w:r>
      <w:r>
        <w:rPr>
          <w:rFonts w:ascii="Arial" w:hAnsi="Arial" w:cs="Arial"/>
          <w:b/>
          <w:bCs/>
          <w:szCs w:val="22"/>
        </w:rPr>
        <w:t xml:space="preserve">i </w:t>
      </w:r>
      <w:r w:rsidRPr="006C53C4">
        <w:rPr>
          <w:rFonts w:ascii="Arial" w:hAnsi="Arial" w:cs="Arial"/>
          <w:b/>
          <w:bCs/>
          <w:szCs w:val="22"/>
        </w:rPr>
        <w:t>trh</w:t>
      </w:r>
      <w:r>
        <w:rPr>
          <w:rFonts w:ascii="Arial" w:hAnsi="Arial" w:cs="Arial"/>
          <w:b/>
          <w:bCs/>
          <w:szCs w:val="22"/>
        </w:rPr>
        <w:t xml:space="preserve"> </w:t>
      </w:r>
      <w:r w:rsidRPr="00045981">
        <w:rPr>
          <w:rFonts w:ascii="Arial" w:hAnsi="Arial" w:cs="Arial"/>
          <w:szCs w:val="22"/>
        </w:rPr>
        <w:t xml:space="preserve">zastavili </w:t>
      </w:r>
      <w:r>
        <w:rPr>
          <w:rFonts w:ascii="Arial" w:hAnsi="Arial" w:cs="Arial"/>
          <w:szCs w:val="22"/>
        </w:rPr>
        <w:t>začiatkom minulého roka svoj pokles a začali mierne rásť</w:t>
      </w:r>
      <w:r w:rsidRPr="006C53C4">
        <w:rPr>
          <w:rFonts w:ascii="Arial" w:hAnsi="Arial" w:cs="Arial"/>
          <w:szCs w:val="22"/>
        </w:rPr>
        <w:t xml:space="preserve">. </w:t>
      </w:r>
      <w:r>
        <w:rPr>
          <w:rFonts w:ascii="Arial" w:hAnsi="Arial" w:cs="Arial"/>
          <w:szCs w:val="22"/>
        </w:rPr>
        <w:t>Aktuálne boli t</w:t>
      </w:r>
      <w:r w:rsidRPr="00045981">
        <w:rPr>
          <w:rFonts w:ascii="Arial" w:hAnsi="Arial" w:cs="Arial"/>
          <w:szCs w:val="22"/>
        </w:rPr>
        <w:t xml:space="preserve">uzemské výrobné ceny v priemysle </w:t>
      </w:r>
      <w:r>
        <w:rPr>
          <w:rFonts w:ascii="Arial" w:hAnsi="Arial" w:cs="Arial"/>
          <w:szCs w:val="22"/>
        </w:rPr>
        <w:t xml:space="preserve">vo 4. štvrťroku 2025 medziročne </w:t>
      </w:r>
      <w:r w:rsidRPr="00045981">
        <w:rPr>
          <w:rFonts w:ascii="Arial" w:hAnsi="Arial" w:cs="Arial"/>
          <w:szCs w:val="22"/>
        </w:rPr>
        <w:t>vyššie</w:t>
      </w:r>
      <w:r>
        <w:rPr>
          <w:rFonts w:ascii="Arial" w:hAnsi="Arial" w:cs="Arial"/>
          <w:szCs w:val="22"/>
        </w:rPr>
        <w:t xml:space="preserve"> o 0,6 %</w:t>
      </w:r>
      <w:r w:rsidRPr="006C53C4">
        <w:rPr>
          <w:rFonts w:ascii="Arial" w:hAnsi="Arial" w:cs="Arial"/>
          <w:szCs w:val="22"/>
        </w:rPr>
        <w:t xml:space="preserve">. </w:t>
      </w:r>
      <w:r w:rsidRPr="00234627">
        <w:rPr>
          <w:rFonts w:ascii="Arial" w:hAnsi="Arial" w:cs="Arial"/>
          <w:szCs w:val="22"/>
        </w:rPr>
        <w:t xml:space="preserve">Celkovo zo 16 odvetví priemyslu </w:t>
      </w:r>
      <w:r>
        <w:rPr>
          <w:rFonts w:ascii="Arial" w:hAnsi="Arial" w:cs="Arial"/>
          <w:szCs w:val="22"/>
        </w:rPr>
        <w:t>vzrástli</w:t>
      </w:r>
      <w:r w:rsidRPr="00234627">
        <w:rPr>
          <w:rFonts w:ascii="Arial" w:hAnsi="Arial" w:cs="Arial"/>
          <w:szCs w:val="22"/>
        </w:rPr>
        <w:t xml:space="preserve"> ceny </w:t>
      </w:r>
      <w:r>
        <w:rPr>
          <w:rFonts w:ascii="Arial" w:hAnsi="Arial" w:cs="Arial"/>
          <w:szCs w:val="22"/>
        </w:rPr>
        <w:t>v 12</w:t>
      </w:r>
      <w:r w:rsidRPr="00234627">
        <w:rPr>
          <w:rFonts w:ascii="Arial" w:hAnsi="Arial" w:cs="Arial"/>
          <w:szCs w:val="22"/>
        </w:rPr>
        <w:t>.</w:t>
      </w:r>
      <w:r>
        <w:rPr>
          <w:rFonts w:ascii="Arial" w:hAnsi="Arial" w:cs="Arial"/>
          <w:szCs w:val="22"/>
        </w:rPr>
        <w:t xml:space="preserve"> </w:t>
      </w:r>
    </w:p>
    <w:p w14:paraId="51589C10" w14:textId="77777777" w:rsidR="00284D73" w:rsidRPr="006C53C4" w:rsidRDefault="00284D73" w:rsidP="00284D73">
      <w:pPr>
        <w:spacing w:after="100"/>
        <w:rPr>
          <w:rFonts w:ascii="Arial" w:hAnsi="Arial" w:cs="Arial"/>
          <w:szCs w:val="22"/>
        </w:rPr>
      </w:pPr>
      <w:r>
        <w:rPr>
          <w:rFonts w:ascii="Arial" w:hAnsi="Arial" w:cs="Arial"/>
          <w:szCs w:val="22"/>
        </w:rPr>
        <w:t xml:space="preserve">Vyššiemu rastu zabránili </w:t>
      </w:r>
      <w:r w:rsidRPr="006C53C4">
        <w:rPr>
          <w:rFonts w:ascii="Arial" w:hAnsi="Arial" w:cs="Arial"/>
          <w:szCs w:val="22"/>
        </w:rPr>
        <w:t>najmä lacnejšie energie, ktoré medziročne klesli o</w:t>
      </w:r>
      <w:r>
        <w:rPr>
          <w:rFonts w:ascii="Arial" w:hAnsi="Arial" w:cs="Arial"/>
          <w:szCs w:val="22"/>
        </w:rPr>
        <w:t xml:space="preserve"> 2,1 </w:t>
      </w:r>
      <w:r w:rsidRPr="006C53C4">
        <w:rPr>
          <w:rFonts w:ascii="Arial" w:hAnsi="Arial" w:cs="Arial"/>
          <w:szCs w:val="22"/>
        </w:rPr>
        <w:t xml:space="preserve">%. </w:t>
      </w:r>
      <w:r>
        <w:rPr>
          <w:rFonts w:ascii="Arial" w:hAnsi="Arial" w:cs="Arial"/>
          <w:szCs w:val="22"/>
        </w:rPr>
        <w:t>Naopak, v</w:t>
      </w:r>
      <w:r w:rsidRPr="006C53C4">
        <w:rPr>
          <w:rFonts w:ascii="Arial" w:hAnsi="Arial" w:cs="Arial"/>
          <w:szCs w:val="22"/>
        </w:rPr>
        <w:t xml:space="preserve">áhovo najdôležitejšie odvetvie slovenskej priemyselnej výroby, výroba dopravných prostriedkov, </w:t>
      </w:r>
      <w:r>
        <w:rPr>
          <w:rFonts w:ascii="Arial" w:hAnsi="Arial" w:cs="Arial"/>
          <w:szCs w:val="22"/>
        </w:rPr>
        <w:t>ťahalo ceny nahor. Vo</w:t>
      </w:r>
      <w:r w:rsidRPr="006C53C4">
        <w:rPr>
          <w:rFonts w:ascii="Arial" w:hAnsi="Arial" w:cs="Arial"/>
          <w:szCs w:val="22"/>
        </w:rPr>
        <w:t xml:space="preserve"> </w:t>
      </w:r>
      <w:r>
        <w:rPr>
          <w:rFonts w:ascii="Arial" w:hAnsi="Arial" w:cs="Arial"/>
          <w:szCs w:val="22"/>
        </w:rPr>
        <w:t>4</w:t>
      </w:r>
      <w:r w:rsidRPr="006C53C4">
        <w:rPr>
          <w:rFonts w:ascii="Arial" w:hAnsi="Arial" w:cs="Arial"/>
          <w:szCs w:val="22"/>
        </w:rPr>
        <w:t xml:space="preserve">. štvrťroku </w:t>
      </w:r>
      <w:r>
        <w:rPr>
          <w:rFonts w:ascii="Arial" w:hAnsi="Arial" w:cs="Arial"/>
          <w:szCs w:val="22"/>
        </w:rPr>
        <w:t>minulého roka</w:t>
      </w:r>
      <w:r w:rsidRPr="006C53C4">
        <w:rPr>
          <w:rFonts w:ascii="Arial" w:hAnsi="Arial" w:cs="Arial"/>
          <w:szCs w:val="22"/>
        </w:rPr>
        <w:t xml:space="preserve"> zaznamenalo</w:t>
      </w:r>
      <w:r>
        <w:rPr>
          <w:rFonts w:ascii="Arial" w:hAnsi="Arial" w:cs="Arial"/>
          <w:szCs w:val="22"/>
        </w:rPr>
        <w:t xml:space="preserve"> toto odvetvie nárast</w:t>
      </w:r>
      <w:r w:rsidRPr="006C53C4">
        <w:rPr>
          <w:rFonts w:ascii="Arial" w:hAnsi="Arial" w:cs="Arial"/>
          <w:szCs w:val="22"/>
        </w:rPr>
        <w:t xml:space="preserve"> cien </w:t>
      </w:r>
      <w:r>
        <w:rPr>
          <w:rFonts w:ascii="Arial" w:hAnsi="Arial" w:cs="Arial"/>
          <w:szCs w:val="22"/>
        </w:rPr>
        <w:t>až o 3,7 %</w:t>
      </w:r>
      <w:r w:rsidRPr="006C53C4">
        <w:rPr>
          <w:rFonts w:ascii="Arial" w:hAnsi="Arial" w:cs="Arial"/>
          <w:szCs w:val="22"/>
        </w:rPr>
        <w:t xml:space="preserve">. </w:t>
      </w:r>
    </w:p>
    <w:p w14:paraId="4F67E608" w14:textId="4994EF69" w:rsidR="00284D73" w:rsidRPr="006C53C4" w:rsidRDefault="00284D73" w:rsidP="00284D73">
      <w:pPr>
        <w:spacing w:after="100"/>
        <w:rPr>
          <w:rFonts w:ascii="Arial" w:hAnsi="Arial" w:cs="Arial"/>
          <w:szCs w:val="22"/>
        </w:rPr>
      </w:pPr>
      <w:r>
        <w:rPr>
          <w:rFonts w:ascii="Arial" w:hAnsi="Arial" w:cs="Arial"/>
          <w:szCs w:val="22"/>
        </w:rPr>
        <w:tab/>
        <w:t>Aj c</w:t>
      </w:r>
      <w:r w:rsidRPr="006C53C4">
        <w:rPr>
          <w:rFonts w:ascii="Arial" w:hAnsi="Arial" w:cs="Arial"/>
          <w:szCs w:val="22"/>
        </w:rPr>
        <w:t xml:space="preserve">eny </w:t>
      </w:r>
      <w:r w:rsidRPr="006C53C4">
        <w:rPr>
          <w:rFonts w:ascii="Arial" w:hAnsi="Arial" w:cs="Arial"/>
          <w:b/>
          <w:bCs/>
          <w:szCs w:val="22"/>
        </w:rPr>
        <w:t>priemyselných výrobcov pre export</w:t>
      </w:r>
      <w:r w:rsidRPr="006C53C4">
        <w:rPr>
          <w:rFonts w:ascii="Arial" w:hAnsi="Arial" w:cs="Arial"/>
          <w:szCs w:val="22"/>
        </w:rPr>
        <w:t xml:space="preserve"> </w:t>
      </w:r>
      <w:r>
        <w:rPr>
          <w:rFonts w:ascii="Arial" w:hAnsi="Arial" w:cs="Arial"/>
          <w:szCs w:val="22"/>
        </w:rPr>
        <w:t>zaznamenali vo 4. štvrťroku 2025 medziročný nárast, a to na úrovni 1,1 %. Ešte výraznejšie stúpli na konci roka c</w:t>
      </w:r>
      <w:r w:rsidRPr="006C53C4">
        <w:rPr>
          <w:rFonts w:ascii="Arial" w:hAnsi="Arial" w:cs="Arial"/>
          <w:szCs w:val="22"/>
        </w:rPr>
        <w:t xml:space="preserve">eny za </w:t>
      </w:r>
      <w:r w:rsidRPr="006C53C4">
        <w:rPr>
          <w:rFonts w:ascii="Arial" w:hAnsi="Arial" w:cs="Arial"/>
          <w:b/>
          <w:bCs/>
          <w:szCs w:val="22"/>
        </w:rPr>
        <w:t>stavebné práce</w:t>
      </w:r>
      <w:r>
        <w:rPr>
          <w:rFonts w:ascii="Arial" w:hAnsi="Arial" w:cs="Arial"/>
          <w:b/>
          <w:bCs/>
          <w:szCs w:val="22"/>
        </w:rPr>
        <w:t>,</w:t>
      </w:r>
      <w:r w:rsidRPr="006C53C4">
        <w:rPr>
          <w:rFonts w:ascii="Arial" w:hAnsi="Arial" w:cs="Arial"/>
          <w:szCs w:val="22"/>
        </w:rPr>
        <w:t xml:space="preserve"> </w:t>
      </w:r>
      <w:r>
        <w:rPr>
          <w:rFonts w:ascii="Arial" w:hAnsi="Arial" w:cs="Arial"/>
          <w:szCs w:val="22"/>
        </w:rPr>
        <w:t>vo</w:t>
      </w:r>
      <w:r w:rsidRPr="006C53C4">
        <w:rPr>
          <w:rFonts w:ascii="Arial" w:hAnsi="Arial" w:cs="Arial"/>
          <w:szCs w:val="22"/>
        </w:rPr>
        <w:t xml:space="preserve"> </w:t>
      </w:r>
      <w:r>
        <w:rPr>
          <w:rFonts w:ascii="Arial" w:hAnsi="Arial" w:cs="Arial"/>
          <w:szCs w:val="22"/>
        </w:rPr>
        <w:t>4</w:t>
      </w:r>
      <w:r w:rsidRPr="006C53C4">
        <w:rPr>
          <w:rFonts w:ascii="Arial" w:hAnsi="Arial" w:cs="Arial"/>
          <w:szCs w:val="22"/>
        </w:rPr>
        <w:t>. štvrťroku 202</w:t>
      </w:r>
      <w:r>
        <w:rPr>
          <w:rFonts w:ascii="Arial" w:hAnsi="Arial" w:cs="Arial"/>
          <w:szCs w:val="22"/>
        </w:rPr>
        <w:t>5 boli medziročne vyššie o 5,8 %</w:t>
      </w:r>
      <w:r w:rsidRPr="006C53C4">
        <w:rPr>
          <w:rFonts w:ascii="Arial" w:hAnsi="Arial" w:cs="Arial"/>
          <w:szCs w:val="22"/>
        </w:rPr>
        <w:t>.</w:t>
      </w:r>
      <w:r>
        <w:rPr>
          <w:rFonts w:ascii="Arial" w:hAnsi="Arial" w:cs="Arial"/>
          <w:szCs w:val="22"/>
        </w:rPr>
        <w:t xml:space="preserve"> Tempo rastu tak bolo najvyššie od začiatku roka 2024. </w:t>
      </w:r>
      <w:r w:rsidRPr="006C53C4">
        <w:rPr>
          <w:rFonts w:ascii="Arial" w:hAnsi="Arial" w:cs="Arial"/>
          <w:szCs w:val="22"/>
        </w:rPr>
        <w:t xml:space="preserve"> Ceny </w:t>
      </w:r>
      <w:r w:rsidRPr="006C53C4">
        <w:rPr>
          <w:rFonts w:ascii="Arial" w:hAnsi="Arial" w:cs="Arial"/>
          <w:b/>
          <w:bCs/>
          <w:szCs w:val="22"/>
        </w:rPr>
        <w:t>materiálov spotrebovávaných v stavebníctve</w:t>
      </w:r>
      <w:r w:rsidRPr="006C53C4">
        <w:rPr>
          <w:rFonts w:ascii="Arial" w:hAnsi="Arial" w:cs="Arial"/>
          <w:szCs w:val="22"/>
        </w:rPr>
        <w:t xml:space="preserve"> </w:t>
      </w:r>
      <w:r>
        <w:rPr>
          <w:rFonts w:ascii="Arial" w:hAnsi="Arial" w:cs="Arial"/>
          <w:szCs w:val="22"/>
        </w:rPr>
        <w:t xml:space="preserve">vzrástli </w:t>
      </w:r>
      <w:r w:rsidRPr="006C53C4">
        <w:rPr>
          <w:rFonts w:ascii="Arial" w:hAnsi="Arial" w:cs="Arial"/>
          <w:szCs w:val="22"/>
        </w:rPr>
        <w:t>vo 4. štvrťroku 202</w:t>
      </w:r>
      <w:r>
        <w:rPr>
          <w:rFonts w:ascii="Arial" w:hAnsi="Arial" w:cs="Arial"/>
          <w:szCs w:val="22"/>
        </w:rPr>
        <w:t>5 o 4,3 %.</w:t>
      </w:r>
      <w:r w:rsidRPr="006C53C4">
        <w:rPr>
          <w:rFonts w:ascii="Arial" w:hAnsi="Arial" w:cs="Arial"/>
          <w:szCs w:val="22"/>
        </w:rPr>
        <w:t xml:space="preserve"> </w:t>
      </w:r>
    </w:p>
    <w:p w14:paraId="40C5A94F" w14:textId="5FF0A10A" w:rsidR="006C53C4" w:rsidRDefault="00284D73" w:rsidP="00284D73">
      <w:pPr>
        <w:spacing w:after="100"/>
        <w:rPr>
          <w:rFonts w:ascii="Arial" w:hAnsi="Arial" w:cs="Arial"/>
          <w:color w:val="EE0000"/>
          <w:szCs w:val="22"/>
        </w:rPr>
      </w:pPr>
      <w:r>
        <w:rPr>
          <w:rFonts w:ascii="Arial" w:hAnsi="Arial" w:cs="Arial"/>
          <w:szCs w:val="22"/>
        </w:rPr>
        <w:tab/>
        <w:t>C</w:t>
      </w:r>
      <w:r w:rsidRPr="006C53C4">
        <w:rPr>
          <w:rFonts w:ascii="Arial" w:hAnsi="Arial" w:cs="Arial"/>
          <w:szCs w:val="22"/>
        </w:rPr>
        <w:t>en</w:t>
      </w:r>
      <w:r>
        <w:rPr>
          <w:rFonts w:ascii="Arial" w:hAnsi="Arial" w:cs="Arial"/>
          <w:szCs w:val="22"/>
        </w:rPr>
        <w:t>y</w:t>
      </w:r>
      <w:r w:rsidRPr="006C53C4">
        <w:rPr>
          <w:rFonts w:ascii="Arial" w:hAnsi="Arial" w:cs="Arial"/>
          <w:szCs w:val="22"/>
        </w:rPr>
        <w:t xml:space="preserve"> za </w:t>
      </w:r>
      <w:r w:rsidRPr="006C53C4">
        <w:rPr>
          <w:rFonts w:ascii="Arial" w:hAnsi="Arial" w:cs="Arial"/>
          <w:b/>
          <w:bCs/>
          <w:szCs w:val="22"/>
        </w:rPr>
        <w:t>poľnohospodárske výrobky</w:t>
      </w:r>
      <w:r w:rsidRPr="006C53C4">
        <w:rPr>
          <w:rFonts w:ascii="Arial" w:hAnsi="Arial" w:cs="Arial"/>
          <w:szCs w:val="22"/>
        </w:rPr>
        <w:t xml:space="preserve"> </w:t>
      </w:r>
      <w:r>
        <w:rPr>
          <w:rFonts w:ascii="Arial" w:hAnsi="Arial" w:cs="Arial"/>
          <w:szCs w:val="22"/>
        </w:rPr>
        <w:t>sa na konci roka zvýšili o 1,2 %, rast zaznamenali už piaty štvrťrok v rade. C</w:t>
      </w:r>
      <w:r w:rsidRPr="006C53C4">
        <w:rPr>
          <w:rFonts w:ascii="Arial" w:hAnsi="Arial" w:cs="Arial"/>
          <w:szCs w:val="22"/>
        </w:rPr>
        <w:t xml:space="preserve">eny živočíšnych výrobkov vrátane </w:t>
      </w:r>
      <w:r>
        <w:rPr>
          <w:rFonts w:ascii="Arial" w:hAnsi="Arial" w:cs="Arial"/>
          <w:szCs w:val="22"/>
        </w:rPr>
        <w:t xml:space="preserve">rýb boli vyššie </w:t>
      </w:r>
      <w:r w:rsidRPr="006C53C4">
        <w:rPr>
          <w:rFonts w:ascii="Arial" w:hAnsi="Arial" w:cs="Arial"/>
          <w:szCs w:val="22"/>
        </w:rPr>
        <w:t>o</w:t>
      </w:r>
      <w:r>
        <w:rPr>
          <w:rFonts w:ascii="Arial" w:hAnsi="Arial" w:cs="Arial"/>
          <w:szCs w:val="22"/>
        </w:rPr>
        <w:t> 6,8 </w:t>
      </w:r>
      <w:r w:rsidRPr="006C53C4">
        <w:rPr>
          <w:rFonts w:ascii="Arial" w:hAnsi="Arial" w:cs="Arial"/>
          <w:szCs w:val="22"/>
        </w:rPr>
        <w:t>%</w:t>
      </w:r>
      <w:r>
        <w:rPr>
          <w:rFonts w:ascii="Arial" w:hAnsi="Arial" w:cs="Arial"/>
          <w:szCs w:val="22"/>
        </w:rPr>
        <w:t>. Pomerne výrazný rast pokračoval už piaty štvrťrok po sebe</w:t>
      </w:r>
      <w:r w:rsidRPr="006C53C4">
        <w:rPr>
          <w:rFonts w:ascii="Arial" w:hAnsi="Arial" w:cs="Arial"/>
          <w:szCs w:val="22"/>
        </w:rPr>
        <w:t xml:space="preserve">. </w:t>
      </w:r>
      <w:r>
        <w:rPr>
          <w:rFonts w:ascii="Arial" w:hAnsi="Arial" w:cs="Arial"/>
          <w:szCs w:val="22"/>
        </w:rPr>
        <w:t>Naopak, c</w:t>
      </w:r>
      <w:r w:rsidRPr="006C53C4">
        <w:rPr>
          <w:rFonts w:ascii="Arial" w:hAnsi="Arial" w:cs="Arial"/>
          <w:szCs w:val="22"/>
        </w:rPr>
        <w:t>eny rastlinných výrobkov</w:t>
      </w:r>
      <w:r>
        <w:rPr>
          <w:rFonts w:ascii="Arial" w:hAnsi="Arial" w:cs="Arial"/>
          <w:szCs w:val="22"/>
        </w:rPr>
        <w:t xml:space="preserve"> po roku zaznamenali pokles na úrovni 1,5 %</w:t>
      </w:r>
      <w:r w:rsidRPr="006C53C4">
        <w:rPr>
          <w:rFonts w:ascii="Arial" w:hAnsi="Arial" w:cs="Arial"/>
          <w:szCs w:val="22"/>
        </w:rPr>
        <w:t>. Z</w:t>
      </w:r>
      <w:r>
        <w:rPr>
          <w:rFonts w:ascii="Arial" w:hAnsi="Arial" w:cs="Arial"/>
          <w:szCs w:val="22"/>
        </w:rPr>
        <w:t> </w:t>
      </w:r>
      <w:r w:rsidRPr="006C53C4">
        <w:rPr>
          <w:rFonts w:ascii="Arial" w:hAnsi="Arial" w:cs="Arial"/>
          <w:szCs w:val="22"/>
        </w:rPr>
        <w:t xml:space="preserve">produktov živočíšnej výroby najviac </w:t>
      </w:r>
      <w:r>
        <w:rPr>
          <w:rFonts w:ascii="Arial" w:hAnsi="Arial" w:cs="Arial"/>
          <w:szCs w:val="22"/>
        </w:rPr>
        <w:t>vzrástli</w:t>
      </w:r>
      <w:r w:rsidRPr="006C53C4">
        <w:rPr>
          <w:rFonts w:ascii="Arial" w:hAnsi="Arial" w:cs="Arial"/>
          <w:szCs w:val="22"/>
        </w:rPr>
        <w:t xml:space="preserve"> ceny jatočných býkov o 1</w:t>
      </w:r>
      <w:r>
        <w:rPr>
          <w:rFonts w:ascii="Arial" w:hAnsi="Arial" w:cs="Arial"/>
          <w:szCs w:val="22"/>
        </w:rPr>
        <w:t>8</w:t>
      </w:r>
      <w:r w:rsidRPr="006C53C4">
        <w:rPr>
          <w:rFonts w:ascii="Arial" w:hAnsi="Arial" w:cs="Arial"/>
          <w:szCs w:val="22"/>
        </w:rPr>
        <w:t>,</w:t>
      </w:r>
      <w:r>
        <w:rPr>
          <w:rFonts w:ascii="Arial" w:hAnsi="Arial" w:cs="Arial"/>
          <w:szCs w:val="22"/>
        </w:rPr>
        <w:t>8 </w:t>
      </w:r>
      <w:r w:rsidRPr="006C53C4">
        <w:rPr>
          <w:rFonts w:ascii="Arial" w:hAnsi="Arial" w:cs="Arial"/>
          <w:szCs w:val="22"/>
        </w:rPr>
        <w:t>%</w:t>
      </w:r>
      <w:r>
        <w:rPr>
          <w:rFonts w:ascii="Arial" w:hAnsi="Arial" w:cs="Arial"/>
          <w:szCs w:val="22"/>
        </w:rPr>
        <w:t xml:space="preserve">,jatočných kráv o 17,3 % a </w:t>
      </w:r>
      <w:r w:rsidRPr="00EC21ED">
        <w:rPr>
          <w:rFonts w:ascii="Arial" w:hAnsi="Arial" w:cs="Arial"/>
          <w:szCs w:val="22"/>
        </w:rPr>
        <w:t>r</w:t>
      </w:r>
      <w:r>
        <w:rPr>
          <w:rFonts w:ascii="Arial" w:hAnsi="Arial" w:cs="Arial"/>
          <w:szCs w:val="22"/>
        </w:rPr>
        <w:t>ý</w:t>
      </w:r>
      <w:r w:rsidRPr="00EC21ED">
        <w:rPr>
          <w:rFonts w:ascii="Arial" w:hAnsi="Arial" w:cs="Arial"/>
          <w:szCs w:val="22"/>
        </w:rPr>
        <w:t>b a in</w:t>
      </w:r>
      <w:r>
        <w:rPr>
          <w:rFonts w:ascii="Arial" w:hAnsi="Arial" w:cs="Arial"/>
          <w:szCs w:val="22"/>
        </w:rPr>
        <w:t>ých</w:t>
      </w:r>
      <w:r w:rsidRPr="00EC21ED">
        <w:rPr>
          <w:rFonts w:ascii="Arial" w:hAnsi="Arial" w:cs="Arial"/>
          <w:szCs w:val="22"/>
        </w:rPr>
        <w:t xml:space="preserve"> produkt</w:t>
      </w:r>
      <w:r>
        <w:rPr>
          <w:rFonts w:ascii="Arial" w:hAnsi="Arial" w:cs="Arial"/>
          <w:szCs w:val="22"/>
        </w:rPr>
        <w:t>ov</w:t>
      </w:r>
      <w:r w:rsidRPr="00EC21ED">
        <w:rPr>
          <w:rFonts w:ascii="Arial" w:hAnsi="Arial" w:cs="Arial"/>
          <w:szCs w:val="22"/>
        </w:rPr>
        <w:t xml:space="preserve"> rybolovu</w:t>
      </w:r>
      <w:r>
        <w:rPr>
          <w:rFonts w:ascii="Arial" w:hAnsi="Arial" w:cs="Arial"/>
          <w:szCs w:val="22"/>
        </w:rPr>
        <w:t xml:space="preserve"> o 10,9 %.</w:t>
      </w:r>
      <w:r w:rsidRPr="006C53C4">
        <w:rPr>
          <w:rFonts w:ascii="Arial" w:hAnsi="Arial" w:cs="Arial"/>
          <w:szCs w:val="22"/>
        </w:rPr>
        <w:t xml:space="preserve"> </w:t>
      </w:r>
      <w:r>
        <w:rPr>
          <w:rFonts w:ascii="Arial" w:hAnsi="Arial" w:cs="Arial"/>
          <w:szCs w:val="22"/>
        </w:rPr>
        <w:t xml:space="preserve">Pokles zaznamenali iba ceny jatočných ošípaných. Tie boli lacnejšie až o vyše desatinu. </w:t>
      </w:r>
      <w:r w:rsidRPr="006C53C4">
        <w:rPr>
          <w:rFonts w:ascii="Arial" w:hAnsi="Arial" w:cs="Arial"/>
          <w:szCs w:val="22"/>
        </w:rPr>
        <w:t>Z produktov rastlinnej výroby sa najvýraznejšie z</w:t>
      </w:r>
      <w:r>
        <w:rPr>
          <w:rFonts w:ascii="Arial" w:hAnsi="Arial" w:cs="Arial"/>
          <w:szCs w:val="22"/>
        </w:rPr>
        <w:t>výši</w:t>
      </w:r>
      <w:r w:rsidRPr="006C53C4">
        <w:rPr>
          <w:rFonts w:ascii="Arial" w:hAnsi="Arial" w:cs="Arial"/>
          <w:szCs w:val="22"/>
        </w:rPr>
        <w:t>li ceny</w:t>
      </w:r>
      <w:r>
        <w:rPr>
          <w:rFonts w:ascii="Arial" w:hAnsi="Arial" w:cs="Arial"/>
          <w:szCs w:val="22"/>
        </w:rPr>
        <w:t xml:space="preserve"> ovocia o 10,4 % a zeleniny o 1,3 %. Naopak, klesli iba ceny</w:t>
      </w:r>
      <w:r w:rsidRPr="006C53C4">
        <w:rPr>
          <w:rFonts w:ascii="Arial" w:hAnsi="Arial" w:cs="Arial"/>
          <w:szCs w:val="22"/>
        </w:rPr>
        <w:t xml:space="preserve"> obilnín, a to o</w:t>
      </w:r>
      <w:r>
        <w:rPr>
          <w:rFonts w:ascii="Arial" w:hAnsi="Arial" w:cs="Arial"/>
          <w:szCs w:val="22"/>
        </w:rPr>
        <w:t> 3,8</w:t>
      </w:r>
      <w:r w:rsidRPr="006C53C4">
        <w:rPr>
          <w:rFonts w:ascii="Arial" w:hAnsi="Arial" w:cs="Arial"/>
          <w:szCs w:val="22"/>
        </w:rPr>
        <w:t xml:space="preserve"> %.</w:t>
      </w:r>
      <w:r w:rsidR="00E00E33" w:rsidRPr="003A663A">
        <w:rPr>
          <w:rFonts w:ascii="Arial" w:hAnsi="Arial" w:cs="Arial"/>
          <w:color w:val="EE0000"/>
          <w:szCs w:val="22"/>
        </w:rPr>
        <w:t xml:space="preserve"> </w:t>
      </w:r>
    </w:p>
    <w:p w14:paraId="0C7093E4" w14:textId="216432B7" w:rsidR="00284D73" w:rsidRPr="006C53C4" w:rsidRDefault="00284D73" w:rsidP="00284D73">
      <w:pPr>
        <w:tabs>
          <w:tab w:val="left" w:pos="426"/>
        </w:tabs>
        <w:spacing w:after="100"/>
        <w:rPr>
          <w:rFonts w:ascii="Arial" w:hAnsi="Arial" w:cs="Arial"/>
          <w:szCs w:val="22"/>
        </w:rPr>
      </w:pPr>
      <w:r>
        <w:rPr>
          <w:rFonts w:ascii="Arial" w:hAnsi="Arial" w:cs="Arial"/>
          <w:szCs w:val="22"/>
        </w:rPr>
        <w:lastRenderedPageBreak/>
        <w:tab/>
      </w:r>
      <w:r w:rsidRPr="006C53C4">
        <w:rPr>
          <w:rFonts w:ascii="Arial" w:hAnsi="Arial" w:cs="Arial"/>
          <w:szCs w:val="22"/>
        </w:rPr>
        <w:t xml:space="preserve">V </w:t>
      </w:r>
      <w:r w:rsidRPr="006C53C4">
        <w:rPr>
          <w:rFonts w:ascii="Arial" w:hAnsi="Arial" w:cs="Arial"/>
          <w:b/>
          <w:bCs/>
          <w:szCs w:val="22"/>
        </w:rPr>
        <w:t xml:space="preserve">súhrne za </w:t>
      </w:r>
      <w:r>
        <w:rPr>
          <w:rFonts w:ascii="Arial" w:hAnsi="Arial" w:cs="Arial"/>
          <w:b/>
          <w:bCs/>
          <w:szCs w:val="22"/>
        </w:rPr>
        <w:t>rok</w:t>
      </w:r>
      <w:r w:rsidRPr="006C53C4">
        <w:rPr>
          <w:rFonts w:ascii="Arial" w:hAnsi="Arial" w:cs="Arial"/>
          <w:b/>
          <w:bCs/>
          <w:szCs w:val="22"/>
        </w:rPr>
        <w:t xml:space="preserve"> 202</w:t>
      </w:r>
      <w:r>
        <w:rPr>
          <w:rFonts w:ascii="Arial" w:hAnsi="Arial" w:cs="Arial"/>
          <w:b/>
          <w:bCs/>
          <w:szCs w:val="22"/>
        </w:rPr>
        <w:t>5</w:t>
      </w:r>
      <w:r w:rsidRPr="006C53C4">
        <w:rPr>
          <w:rFonts w:ascii="Arial" w:hAnsi="Arial" w:cs="Arial"/>
          <w:szCs w:val="22"/>
        </w:rPr>
        <w:t xml:space="preserve"> ceny </w:t>
      </w:r>
      <w:r w:rsidRPr="006C53C4">
        <w:rPr>
          <w:rFonts w:ascii="Arial" w:hAnsi="Arial" w:cs="Arial"/>
          <w:b/>
          <w:bCs/>
          <w:szCs w:val="22"/>
        </w:rPr>
        <w:t>priemyselných výrobcov na domácom trhu</w:t>
      </w:r>
      <w:r w:rsidRPr="006C53C4">
        <w:rPr>
          <w:rFonts w:ascii="Arial" w:hAnsi="Arial" w:cs="Arial"/>
          <w:szCs w:val="22"/>
        </w:rPr>
        <w:t xml:space="preserve"> medziročne </w:t>
      </w:r>
      <w:r>
        <w:rPr>
          <w:rFonts w:ascii="Arial" w:hAnsi="Arial" w:cs="Arial"/>
          <w:szCs w:val="22"/>
        </w:rPr>
        <w:t>stúpli</w:t>
      </w:r>
      <w:r w:rsidRPr="006C53C4">
        <w:rPr>
          <w:rFonts w:ascii="Arial" w:hAnsi="Arial" w:cs="Arial"/>
          <w:szCs w:val="22"/>
        </w:rPr>
        <w:t xml:space="preserve"> o 0,</w:t>
      </w:r>
      <w:r>
        <w:rPr>
          <w:rFonts w:ascii="Arial" w:hAnsi="Arial" w:cs="Arial"/>
          <w:szCs w:val="22"/>
        </w:rPr>
        <w:t>5 </w:t>
      </w:r>
      <w:r w:rsidRPr="006C53C4">
        <w:rPr>
          <w:rFonts w:ascii="Arial" w:hAnsi="Arial" w:cs="Arial"/>
          <w:szCs w:val="22"/>
        </w:rPr>
        <w:t xml:space="preserve">%. </w:t>
      </w:r>
      <w:r w:rsidR="0032295A" w:rsidRPr="006C53C4">
        <w:rPr>
          <w:rFonts w:ascii="Arial" w:hAnsi="Arial" w:cs="Arial"/>
          <w:szCs w:val="22"/>
        </w:rPr>
        <w:t xml:space="preserve">Medziročný </w:t>
      </w:r>
      <w:r w:rsidR="0032295A">
        <w:rPr>
          <w:rFonts w:ascii="Arial" w:hAnsi="Arial" w:cs="Arial"/>
          <w:szCs w:val="22"/>
        </w:rPr>
        <w:t>nárast</w:t>
      </w:r>
      <w:r w:rsidR="0032295A" w:rsidRPr="006C53C4">
        <w:rPr>
          <w:rFonts w:ascii="Arial" w:hAnsi="Arial" w:cs="Arial"/>
          <w:szCs w:val="22"/>
        </w:rPr>
        <w:t xml:space="preserve"> cien sa prejavil v </w:t>
      </w:r>
      <w:r w:rsidR="0032295A">
        <w:rPr>
          <w:rFonts w:ascii="Arial" w:hAnsi="Arial" w:cs="Arial"/>
          <w:szCs w:val="22"/>
        </w:rPr>
        <w:t>13</w:t>
      </w:r>
      <w:r w:rsidR="0032295A" w:rsidRPr="006C53C4">
        <w:rPr>
          <w:rFonts w:ascii="Arial" w:hAnsi="Arial" w:cs="Arial"/>
          <w:szCs w:val="22"/>
        </w:rPr>
        <w:t xml:space="preserve"> z celkovo 1</w:t>
      </w:r>
      <w:r w:rsidR="0032295A">
        <w:rPr>
          <w:rFonts w:ascii="Arial" w:hAnsi="Arial" w:cs="Arial"/>
          <w:szCs w:val="22"/>
        </w:rPr>
        <w:t>6</w:t>
      </w:r>
      <w:r w:rsidR="0032295A" w:rsidRPr="006C53C4">
        <w:rPr>
          <w:rFonts w:ascii="Arial" w:hAnsi="Arial" w:cs="Arial"/>
          <w:szCs w:val="22"/>
        </w:rPr>
        <w:t xml:space="preserve"> odvetví priemysl</w:t>
      </w:r>
      <w:r w:rsidR="0032295A">
        <w:rPr>
          <w:rFonts w:ascii="Arial" w:hAnsi="Arial" w:cs="Arial"/>
          <w:szCs w:val="22"/>
        </w:rPr>
        <w:t>u, celkový rast ovplyvnili najviac vyššie ceny vo výrobe dopravných prostriedkov o 2,7 % a výrobe výrobkov z gumy a plastu o 3,3 %</w:t>
      </w:r>
      <w:r w:rsidR="0032295A" w:rsidRPr="006C53C4">
        <w:rPr>
          <w:rFonts w:ascii="Arial" w:hAnsi="Arial" w:cs="Arial"/>
          <w:szCs w:val="22"/>
        </w:rPr>
        <w:t xml:space="preserve">. </w:t>
      </w:r>
      <w:r w:rsidR="0032295A">
        <w:rPr>
          <w:rFonts w:ascii="Arial" w:hAnsi="Arial" w:cs="Arial"/>
          <w:szCs w:val="22"/>
        </w:rPr>
        <w:t>Tlmiaci účinok na celkový rast mali</w:t>
      </w:r>
      <w:r w:rsidRPr="006C53C4">
        <w:rPr>
          <w:rFonts w:ascii="Arial" w:hAnsi="Arial" w:cs="Arial"/>
          <w:szCs w:val="22"/>
        </w:rPr>
        <w:t xml:space="preserve"> nižšie ceny </w:t>
      </w:r>
      <w:r w:rsidRPr="00EC21ED">
        <w:rPr>
          <w:rFonts w:ascii="Arial" w:hAnsi="Arial" w:cs="Arial"/>
          <w:szCs w:val="22"/>
        </w:rPr>
        <w:t>koksu a rafinovaných ropných produktov</w:t>
      </w:r>
      <w:r>
        <w:rPr>
          <w:rFonts w:ascii="Arial" w:hAnsi="Arial" w:cs="Arial"/>
          <w:szCs w:val="22"/>
        </w:rPr>
        <w:t xml:space="preserve"> o 9,6 % a</w:t>
      </w:r>
      <w:r w:rsidR="0032295A">
        <w:rPr>
          <w:rFonts w:ascii="Arial" w:hAnsi="Arial" w:cs="Arial"/>
          <w:szCs w:val="22"/>
        </w:rPr>
        <w:t xml:space="preserve"> tiež </w:t>
      </w:r>
      <w:r w:rsidRPr="006C53C4">
        <w:rPr>
          <w:rFonts w:ascii="Arial" w:hAnsi="Arial" w:cs="Arial"/>
          <w:szCs w:val="22"/>
        </w:rPr>
        <w:t xml:space="preserve">v dodávke elektriny a plynu, ktoré boli medziročne nižšie o </w:t>
      </w:r>
      <w:r>
        <w:rPr>
          <w:rFonts w:ascii="Arial" w:hAnsi="Arial" w:cs="Arial"/>
          <w:szCs w:val="22"/>
        </w:rPr>
        <w:t>1</w:t>
      </w:r>
      <w:r w:rsidRPr="006C53C4">
        <w:rPr>
          <w:rFonts w:ascii="Arial" w:hAnsi="Arial" w:cs="Arial"/>
          <w:szCs w:val="22"/>
        </w:rPr>
        <w:t>,</w:t>
      </w:r>
      <w:r>
        <w:rPr>
          <w:rFonts w:ascii="Arial" w:hAnsi="Arial" w:cs="Arial"/>
          <w:szCs w:val="22"/>
        </w:rPr>
        <w:t>5 </w:t>
      </w:r>
      <w:r w:rsidRPr="006C53C4">
        <w:rPr>
          <w:rFonts w:ascii="Arial" w:hAnsi="Arial" w:cs="Arial"/>
          <w:szCs w:val="22"/>
        </w:rPr>
        <w:t xml:space="preserve">%. </w:t>
      </w:r>
    </w:p>
    <w:p w14:paraId="55E6489A" w14:textId="77777777" w:rsidR="00284D73" w:rsidRPr="006C53C4" w:rsidRDefault="00284D73" w:rsidP="00284D73">
      <w:pPr>
        <w:tabs>
          <w:tab w:val="left" w:pos="426"/>
        </w:tabs>
        <w:spacing w:after="100"/>
        <w:rPr>
          <w:rFonts w:ascii="Arial" w:hAnsi="Arial" w:cs="Arial"/>
          <w:szCs w:val="22"/>
        </w:rPr>
      </w:pPr>
      <w:r>
        <w:rPr>
          <w:rFonts w:ascii="Arial" w:hAnsi="Arial" w:cs="Arial"/>
          <w:szCs w:val="22"/>
        </w:rPr>
        <w:tab/>
      </w:r>
      <w:r w:rsidRPr="006C53C4">
        <w:rPr>
          <w:rFonts w:ascii="Arial" w:hAnsi="Arial" w:cs="Arial"/>
          <w:szCs w:val="22"/>
        </w:rPr>
        <w:t xml:space="preserve">Ceny </w:t>
      </w:r>
      <w:r w:rsidRPr="006C53C4">
        <w:rPr>
          <w:rFonts w:ascii="Arial" w:hAnsi="Arial" w:cs="Arial"/>
          <w:b/>
          <w:bCs/>
          <w:szCs w:val="22"/>
        </w:rPr>
        <w:t>priemyselných výrobcov pre export</w:t>
      </w:r>
      <w:r w:rsidRPr="006C53C4">
        <w:rPr>
          <w:rFonts w:ascii="Arial" w:hAnsi="Arial" w:cs="Arial"/>
          <w:szCs w:val="22"/>
        </w:rPr>
        <w:t xml:space="preserve"> v súhrne za </w:t>
      </w:r>
      <w:r>
        <w:rPr>
          <w:rFonts w:ascii="Arial" w:hAnsi="Arial" w:cs="Arial"/>
          <w:szCs w:val="22"/>
        </w:rPr>
        <w:t>rok</w:t>
      </w:r>
      <w:r w:rsidRPr="006C53C4">
        <w:rPr>
          <w:rFonts w:ascii="Arial" w:hAnsi="Arial" w:cs="Arial"/>
          <w:szCs w:val="22"/>
        </w:rPr>
        <w:t xml:space="preserve"> 202</w:t>
      </w:r>
      <w:r>
        <w:rPr>
          <w:rFonts w:ascii="Arial" w:hAnsi="Arial" w:cs="Arial"/>
          <w:szCs w:val="22"/>
        </w:rPr>
        <w:t>5</w:t>
      </w:r>
      <w:r w:rsidRPr="006C53C4">
        <w:rPr>
          <w:rFonts w:ascii="Arial" w:hAnsi="Arial" w:cs="Arial"/>
          <w:szCs w:val="22"/>
        </w:rPr>
        <w:t xml:space="preserve"> </w:t>
      </w:r>
      <w:r>
        <w:rPr>
          <w:rFonts w:ascii="Arial" w:hAnsi="Arial" w:cs="Arial"/>
          <w:szCs w:val="22"/>
        </w:rPr>
        <w:t>boli</w:t>
      </w:r>
      <w:r w:rsidRPr="006C53C4">
        <w:rPr>
          <w:rFonts w:ascii="Arial" w:hAnsi="Arial" w:cs="Arial"/>
          <w:szCs w:val="22"/>
        </w:rPr>
        <w:t xml:space="preserve"> v</w:t>
      </w:r>
      <w:r>
        <w:rPr>
          <w:rFonts w:ascii="Arial" w:hAnsi="Arial" w:cs="Arial"/>
          <w:szCs w:val="22"/>
        </w:rPr>
        <w:t> </w:t>
      </w:r>
      <w:r w:rsidRPr="006C53C4">
        <w:rPr>
          <w:rFonts w:ascii="Arial" w:hAnsi="Arial" w:cs="Arial"/>
          <w:szCs w:val="22"/>
        </w:rPr>
        <w:t>porovnaní s rovnakým obdobím minulého roka o 1,</w:t>
      </w:r>
      <w:r>
        <w:rPr>
          <w:rFonts w:ascii="Arial" w:hAnsi="Arial" w:cs="Arial"/>
          <w:szCs w:val="22"/>
        </w:rPr>
        <w:t>1 </w:t>
      </w:r>
      <w:r w:rsidRPr="006C53C4">
        <w:rPr>
          <w:rFonts w:ascii="Arial" w:hAnsi="Arial" w:cs="Arial"/>
          <w:szCs w:val="22"/>
        </w:rPr>
        <w:t>%</w:t>
      </w:r>
      <w:r>
        <w:rPr>
          <w:rFonts w:ascii="Arial" w:hAnsi="Arial" w:cs="Arial"/>
          <w:szCs w:val="22"/>
        </w:rPr>
        <w:t xml:space="preserve"> vyššie</w:t>
      </w:r>
      <w:r w:rsidRPr="006C53C4">
        <w:rPr>
          <w:rFonts w:ascii="Arial" w:hAnsi="Arial" w:cs="Arial"/>
          <w:szCs w:val="22"/>
        </w:rPr>
        <w:t xml:space="preserve">. V stavebníctve sa udržal rast cien </w:t>
      </w:r>
      <w:r w:rsidRPr="006C53C4">
        <w:rPr>
          <w:rFonts w:ascii="Arial" w:hAnsi="Arial" w:cs="Arial"/>
          <w:b/>
          <w:bCs/>
          <w:szCs w:val="22"/>
        </w:rPr>
        <w:t>stavebných prác</w:t>
      </w:r>
      <w:r w:rsidRPr="006C53C4">
        <w:rPr>
          <w:rFonts w:ascii="Arial" w:hAnsi="Arial" w:cs="Arial"/>
          <w:szCs w:val="22"/>
        </w:rPr>
        <w:t>, a to o 5,</w:t>
      </w:r>
      <w:r>
        <w:rPr>
          <w:rFonts w:ascii="Arial" w:hAnsi="Arial" w:cs="Arial"/>
          <w:szCs w:val="22"/>
        </w:rPr>
        <w:t>3 </w:t>
      </w:r>
      <w:r w:rsidRPr="006C53C4">
        <w:rPr>
          <w:rFonts w:ascii="Arial" w:hAnsi="Arial" w:cs="Arial"/>
          <w:szCs w:val="22"/>
        </w:rPr>
        <w:t xml:space="preserve">%. Ceny </w:t>
      </w:r>
      <w:r w:rsidRPr="006C53C4">
        <w:rPr>
          <w:rFonts w:ascii="Arial" w:hAnsi="Arial" w:cs="Arial"/>
          <w:b/>
          <w:bCs/>
          <w:szCs w:val="22"/>
        </w:rPr>
        <w:t>materiálov a</w:t>
      </w:r>
      <w:r>
        <w:rPr>
          <w:rFonts w:ascii="Arial" w:hAnsi="Arial" w:cs="Arial"/>
          <w:b/>
          <w:bCs/>
          <w:szCs w:val="22"/>
        </w:rPr>
        <w:t> </w:t>
      </w:r>
      <w:r w:rsidRPr="006C53C4">
        <w:rPr>
          <w:rFonts w:ascii="Arial" w:hAnsi="Arial" w:cs="Arial"/>
          <w:b/>
          <w:bCs/>
          <w:szCs w:val="22"/>
        </w:rPr>
        <w:t>výrobkov spotrebovávaných v stavebníctve</w:t>
      </w:r>
      <w:r w:rsidRPr="006C53C4">
        <w:rPr>
          <w:rFonts w:ascii="Arial" w:hAnsi="Arial" w:cs="Arial"/>
          <w:szCs w:val="22"/>
        </w:rPr>
        <w:t xml:space="preserve"> boli </w:t>
      </w:r>
      <w:r>
        <w:rPr>
          <w:rFonts w:ascii="Arial" w:hAnsi="Arial" w:cs="Arial"/>
          <w:szCs w:val="22"/>
        </w:rPr>
        <w:t>vyššie</w:t>
      </w:r>
      <w:r w:rsidRPr="006C53C4">
        <w:rPr>
          <w:rFonts w:ascii="Arial" w:hAnsi="Arial" w:cs="Arial"/>
          <w:szCs w:val="22"/>
        </w:rPr>
        <w:t xml:space="preserve"> o</w:t>
      </w:r>
      <w:r>
        <w:rPr>
          <w:rFonts w:ascii="Arial" w:hAnsi="Arial" w:cs="Arial"/>
          <w:szCs w:val="22"/>
        </w:rPr>
        <w:t> 2,7 </w:t>
      </w:r>
      <w:r w:rsidRPr="006C53C4">
        <w:rPr>
          <w:rFonts w:ascii="Arial" w:hAnsi="Arial" w:cs="Arial"/>
          <w:szCs w:val="22"/>
        </w:rPr>
        <w:t>%.</w:t>
      </w:r>
    </w:p>
    <w:p w14:paraId="08AA6851" w14:textId="7E7C0D50" w:rsidR="00284D73" w:rsidRPr="003A663A" w:rsidRDefault="00284D73" w:rsidP="00284D73">
      <w:pPr>
        <w:spacing w:after="100"/>
        <w:rPr>
          <w:rFonts w:ascii="Arial" w:hAnsi="Arial" w:cs="Arial"/>
          <w:color w:val="EE0000"/>
          <w:szCs w:val="22"/>
        </w:rPr>
      </w:pPr>
      <w:r>
        <w:rPr>
          <w:rFonts w:ascii="Arial" w:hAnsi="Arial" w:cs="Arial"/>
          <w:szCs w:val="22"/>
        </w:rPr>
        <w:tab/>
        <w:t>Z</w:t>
      </w:r>
      <w:r w:rsidRPr="006C53C4">
        <w:rPr>
          <w:rFonts w:ascii="Arial" w:hAnsi="Arial" w:cs="Arial"/>
          <w:szCs w:val="22"/>
        </w:rPr>
        <w:t xml:space="preserve">a </w:t>
      </w:r>
      <w:r>
        <w:rPr>
          <w:rFonts w:ascii="Arial" w:hAnsi="Arial" w:cs="Arial"/>
          <w:szCs w:val="22"/>
        </w:rPr>
        <w:t>celý rok</w:t>
      </w:r>
      <w:r w:rsidRPr="006C53C4">
        <w:rPr>
          <w:rFonts w:ascii="Arial" w:hAnsi="Arial" w:cs="Arial"/>
          <w:szCs w:val="22"/>
        </w:rPr>
        <w:t xml:space="preserve"> 202</w:t>
      </w:r>
      <w:r>
        <w:rPr>
          <w:rFonts w:ascii="Arial" w:hAnsi="Arial" w:cs="Arial"/>
          <w:szCs w:val="22"/>
        </w:rPr>
        <w:t>5</w:t>
      </w:r>
      <w:r w:rsidRPr="006C53C4">
        <w:rPr>
          <w:rFonts w:ascii="Arial" w:hAnsi="Arial" w:cs="Arial"/>
          <w:szCs w:val="22"/>
        </w:rPr>
        <w:t xml:space="preserve"> </w:t>
      </w:r>
      <w:r>
        <w:rPr>
          <w:rFonts w:ascii="Arial" w:hAnsi="Arial" w:cs="Arial"/>
          <w:szCs w:val="22"/>
        </w:rPr>
        <w:t>vzrástli</w:t>
      </w:r>
      <w:r w:rsidRPr="006C53C4">
        <w:rPr>
          <w:rFonts w:ascii="Arial" w:hAnsi="Arial" w:cs="Arial"/>
          <w:szCs w:val="22"/>
        </w:rPr>
        <w:t xml:space="preserve"> v medziročnom porovnaní ceny </w:t>
      </w:r>
      <w:r w:rsidRPr="006C53C4">
        <w:rPr>
          <w:rFonts w:ascii="Arial" w:hAnsi="Arial" w:cs="Arial"/>
          <w:b/>
          <w:bCs/>
          <w:szCs w:val="22"/>
        </w:rPr>
        <w:t>poľnohospodárskych výrobkov</w:t>
      </w:r>
      <w:r w:rsidRPr="006C53C4">
        <w:rPr>
          <w:rFonts w:ascii="Arial" w:hAnsi="Arial" w:cs="Arial"/>
          <w:szCs w:val="22"/>
        </w:rPr>
        <w:t xml:space="preserve"> o</w:t>
      </w:r>
      <w:r>
        <w:rPr>
          <w:rFonts w:ascii="Arial" w:hAnsi="Arial" w:cs="Arial"/>
          <w:szCs w:val="22"/>
        </w:rPr>
        <w:t> 5,2 </w:t>
      </w:r>
      <w:r w:rsidRPr="006C53C4">
        <w:rPr>
          <w:rFonts w:ascii="Arial" w:hAnsi="Arial" w:cs="Arial"/>
          <w:szCs w:val="22"/>
        </w:rPr>
        <w:t>%. Významnejší vplyv na z</w:t>
      </w:r>
      <w:r>
        <w:rPr>
          <w:rFonts w:ascii="Arial" w:hAnsi="Arial" w:cs="Arial"/>
          <w:szCs w:val="22"/>
        </w:rPr>
        <w:t>výšení</w:t>
      </w:r>
      <w:r w:rsidRPr="006C53C4">
        <w:rPr>
          <w:rFonts w:ascii="Arial" w:hAnsi="Arial" w:cs="Arial"/>
          <w:szCs w:val="22"/>
        </w:rPr>
        <w:t xml:space="preserve"> mal </w:t>
      </w:r>
      <w:r>
        <w:rPr>
          <w:rFonts w:ascii="Arial" w:hAnsi="Arial" w:cs="Arial"/>
          <w:szCs w:val="22"/>
        </w:rPr>
        <w:t>nárast</w:t>
      </w:r>
      <w:r w:rsidRPr="006C53C4">
        <w:rPr>
          <w:rFonts w:ascii="Arial" w:hAnsi="Arial" w:cs="Arial"/>
          <w:szCs w:val="22"/>
        </w:rPr>
        <w:t xml:space="preserve"> cien v</w:t>
      </w:r>
      <w:r>
        <w:rPr>
          <w:rFonts w:ascii="Arial" w:hAnsi="Arial" w:cs="Arial"/>
          <w:szCs w:val="22"/>
        </w:rPr>
        <w:t> živočíšnej</w:t>
      </w:r>
      <w:r w:rsidRPr="006C53C4">
        <w:rPr>
          <w:rFonts w:ascii="Arial" w:hAnsi="Arial" w:cs="Arial"/>
          <w:szCs w:val="22"/>
        </w:rPr>
        <w:t xml:space="preserve"> výrobe o</w:t>
      </w:r>
      <w:r>
        <w:rPr>
          <w:rFonts w:ascii="Arial" w:hAnsi="Arial" w:cs="Arial"/>
          <w:szCs w:val="22"/>
        </w:rPr>
        <w:t> 8,5 </w:t>
      </w:r>
      <w:r w:rsidRPr="006C53C4">
        <w:rPr>
          <w:rFonts w:ascii="Arial" w:hAnsi="Arial" w:cs="Arial"/>
          <w:szCs w:val="22"/>
        </w:rPr>
        <w:t xml:space="preserve">%, </w:t>
      </w:r>
      <w:r>
        <w:rPr>
          <w:rFonts w:ascii="Arial" w:hAnsi="Arial" w:cs="Arial"/>
          <w:szCs w:val="22"/>
        </w:rPr>
        <w:t>c</w:t>
      </w:r>
      <w:r w:rsidRPr="006C53C4">
        <w:rPr>
          <w:rFonts w:ascii="Arial" w:hAnsi="Arial" w:cs="Arial"/>
          <w:szCs w:val="22"/>
        </w:rPr>
        <w:t xml:space="preserve">eny </w:t>
      </w:r>
      <w:r>
        <w:rPr>
          <w:rFonts w:ascii="Arial" w:hAnsi="Arial" w:cs="Arial"/>
          <w:szCs w:val="22"/>
        </w:rPr>
        <w:t xml:space="preserve">v rastlinnej </w:t>
      </w:r>
      <w:r w:rsidRPr="006C53C4">
        <w:rPr>
          <w:rFonts w:ascii="Arial" w:hAnsi="Arial" w:cs="Arial"/>
          <w:szCs w:val="22"/>
        </w:rPr>
        <w:t>výrob</w:t>
      </w:r>
      <w:r>
        <w:rPr>
          <w:rFonts w:ascii="Arial" w:hAnsi="Arial" w:cs="Arial"/>
          <w:szCs w:val="22"/>
        </w:rPr>
        <w:t>e</w:t>
      </w:r>
      <w:r w:rsidRPr="006C53C4">
        <w:rPr>
          <w:rFonts w:ascii="Arial" w:hAnsi="Arial" w:cs="Arial"/>
          <w:szCs w:val="22"/>
        </w:rPr>
        <w:t xml:space="preserve"> boli </w:t>
      </w:r>
      <w:r>
        <w:rPr>
          <w:rFonts w:ascii="Arial" w:hAnsi="Arial" w:cs="Arial"/>
          <w:szCs w:val="22"/>
        </w:rPr>
        <w:t>vyššie</w:t>
      </w:r>
      <w:r w:rsidRPr="006C53C4">
        <w:rPr>
          <w:rFonts w:ascii="Arial" w:hAnsi="Arial" w:cs="Arial"/>
          <w:szCs w:val="22"/>
        </w:rPr>
        <w:t xml:space="preserve"> len o</w:t>
      </w:r>
      <w:r>
        <w:rPr>
          <w:rFonts w:ascii="Arial" w:hAnsi="Arial" w:cs="Arial"/>
          <w:szCs w:val="22"/>
        </w:rPr>
        <w:t> 2,9 </w:t>
      </w:r>
      <w:r w:rsidRPr="006C53C4">
        <w:rPr>
          <w:rFonts w:ascii="Arial" w:hAnsi="Arial" w:cs="Arial"/>
          <w:szCs w:val="22"/>
        </w:rPr>
        <w:t>%.</w:t>
      </w:r>
    </w:p>
    <w:p w14:paraId="4477A4E5" w14:textId="48FAB3D5" w:rsidR="00C21235" w:rsidRPr="00044DD7" w:rsidRDefault="00C21235" w:rsidP="006C53C4">
      <w:pPr>
        <w:tabs>
          <w:tab w:val="left" w:pos="426"/>
        </w:tabs>
        <w:spacing w:before="240"/>
        <w:rPr>
          <w:rFonts w:ascii="Arial" w:hAnsi="Arial"/>
          <w:b/>
          <w:szCs w:val="22"/>
        </w:rPr>
      </w:pPr>
      <w:r w:rsidRPr="00044DD7">
        <w:rPr>
          <w:rFonts w:ascii="Arial" w:hAnsi="Arial"/>
          <w:b/>
          <w:szCs w:val="22"/>
        </w:rPr>
        <w:t xml:space="preserve">3.3 Cenové deflátory </w:t>
      </w:r>
    </w:p>
    <w:p w14:paraId="3CFDD06A" w14:textId="226E128B" w:rsidR="00C21235" w:rsidRPr="009D750F" w:rsidRDefault="00DD479B" w:rsidP="009F4B5C">
      <w:pPr>
        <w:tabs>
          <w:tab w:val="left" w:pos="426"/>
        </w:tabs>
        <w:rPr>
          <w:rFonts w:ascii="Arial" w:hAnsi="Arial"/>
          <w:sz w:val="20"/>
        </w:rPr>
      </w:pPr>
      <w:r>
        <w:rPr>
          <w:rFonts w:ascii="Arial" w:hAnsi="Arial"/>
        </w:rPr>
        <w:t xml:space="preserve">   </w:t>
      </w:r>
      <w:r w:rsidR="00C21235" w:rsidRPr="009D750F">
        <w:rPr>
          <w:rFonts w:ascii="Arial" w:hAnsi="Arial"/>
          <w:sz w:val="20"/>
        </w:rPr>
        <w:t xml:space="preserve">(tab. </w:t>
      </w:r>
      <w:r w:rsidR="00CB648F">
        <w:rPr>
          <w:rFonts w:ascii="Arial" w:hAnsi="Arial"/>
          <w:sz w:val="20"/>
        </w:rPr>
        <w:t>T</w:t>
      </w:r>
      <w:r w:rsidR="00C21235" w:rsidRPr="009D750F">
        <w:rPr>
          <w:rFonts w:ascii="Arial" w:hAnsi="Arial"/>
          <w:sz w:val="20"/>
        </w:rPr>
        <w:t>1</w:t>
      </w:r>
      <w:r w:rsidR="009F3E56">
        <w:rPr>
          <w:rFonts w:ascii="Arial" w:hAnsi="Arial"/>
          <w:sz w:val="20"/>
        </w:rPr>
        <w:t>1</w:t>
      </w:r>
      <w:r w:rsidR="00C21235" w:rsidRPr="009D750F">
        <w:rPr>
          <w:rFonts w:ascii="Arial" w:hAnsi="Arial"/>
          <w:sz w:val="20"/>
        </w:rPr>
        <w:t>)</w:t>
      </w:r>
    </w:p>
    <w:p w14:paraId="70314992" w14:textId="77777777" w:rsidR="00C21235" w:rsidRPr="009D750F" w:rsidRDefault="00C21235" w:rsidP="009F4B5C">
      <w:pPr>
        <w:tabs>
          <w:tab w:val="left" w:pos="426"/>
        </w:tabs>
        <w:ind w:firstLine="284"/>
        <w:rPr>
          <w:rFonts w:ascii="Arial" w:hAnsi="Arial" w:cs="Arial"/>
          <w:sz w:val="14"/>
          <w:szCs w:val="14"/>
        </w:rPr>
      </w:pPr>
    </w:p>
    <w:p w14:paraId="2DE068CA" w14:textId="400C336D" w:rsidR="00A32365" w:rsidRPr="00404543" w:rsidRDefault="009F3E56" w:rsidP="009F4B5C">
      <w:pPr>
        <w:ind w:firstLine="284"/>
        <w:rPr>
          <w:rFonts w:ascii="Arial" w:hAnsi="Arial" w:cs="Arial"/>
          <w:szCs w:val="16"/>
        </w:rPr>
      </w:pPr>
      <w:r w:rsidRPr="002740BC">
        <w:rPr>
          <w:rFonts w:ascii="Arial" w:hAnsi="Arial" w:cs="Arial"/>
        </w:rPr>
        <w:t>Súhrnná cenová hladina, meraná cenovým deflátorom hrubého domáceho produktu, sa v </w:t>
      </w:r>
      <w:r w:rsidRPr="003B0DC4">
        <w:rPr>
          <w:rFonts w:ascii="Arial" w:hAnsi="Arial" w:cs="Arial"/>
        </w:rPr>
        <w:t>porovnaní so 4. štvrťrokom 2024 zvýšila o</w:t>
      </w:r>
      <w:r>
        <w:rPr>
          <w:rFonts w:ascii="Arial" w:hAnsi="Arial" w:cs="Arial"/>
        </w:rPr>
        <w:t> 4,8</w:t>
      </w:r>
      <w:r w:rsidRPr="003B0DC4">
        <w:rPr>
          <w:rFonts w:ascii="Arial" w:hAnsi="Arial" w:cs="Arial"/>
        </w:rPr>
        <w:t> %. Z jednotlivých výdavkových zložiek HDP vzrástla cenová hladina takmer všetkých zložiek, a to pri konečnej spotrebe domácností o</w:t>
      </w:r>
      <w:r>
        <w:rPr>
          <w:rFonts w:ascii="Arial" w:hAnsi="Arial" w:cs="Arial"/>
        </w:rPr>
        <w:t> 4,1</w:t>
      </w:r>
      <w:r w:rsidRPr="003B0DC4">
        <w:rPr>
          <w:rFonts w:ascii="Arial" w:hAnsi="Arial" w:cs="Arial"/>
        </w:rPr>
        <w:t xml:space="preserve"> %, pri konečnej spotrebe verejnej správy a pri neziskových inštitúciách slúžiacich domácnostiam </w:t>
      </w:r>
      <w:r w:rsidRPr="009F3E56">
        <w:rPr>
          <w:rFonts w:ascii="Arial" w:hAnsi="Arial" w:cs="Arial"/>
        </w:rPr>
        <w:t>rovnako</w:t>
      </w:r>
      <w:r w:rsidRPr="003B0DC4">
        <w:rPr>
          <w:rFonts w:ascii="Arial" w:hAnsi="Arial" w:cs="Arial"/>
        </w:rPr>
        <w:t xml:space="preserve"> o</w:t>
      </w:r>
      <w:r>
        <w:rPr>
          <w:rFonts w:ascii="Arial" w:hAnsi="Arial" w:cs="Arial"/>
        </w:rPr>
        <w:t> 5,1</w:t>
      </w:r>
      <w:r w:rsidRPr="003B0DC4">
        <w:rPr>
          <w:rFonts w:ascii="Arial" w:hAnsi="Arial" w:cs="Arial"/>
        </w:rPr>
        <w:t> %. Deflátor bol vyšší aj pri tvorbe hrubého fixného kapitálu o</w:t>
      </w:r>
      <w:r>
        <w:rPr>
          <w:rFonts w:ascii="Arial" w:hAnsi="Arial" w:cs="Arial"/>
        </w:rPr>
        <w:t> 1,7</w:t>
      </w:r>
      <w:r w:rsidRPr="003B0DC4">
        <w:rPr>
          <w:rFonts w:ascii="Arial" w:hAnsi="Arial" w:cs="Arial"/>
        </w:rPr>
        <w:t> % aj pri vývoze výrobkov a služieb o</w:t>
      </w:r>
      <w:r>
        <w:rPr>
          <w:rFonts w:ascii="Arial" w:hAnsi="Arial" w:cs="Arial"/>
        </w:rPr>
        <w:t> 1,3</w:t>
      </w:r>
      <w:r w:rsidRPr="003B0DC4">
        <w:rPr>
          <w:rFonts w:ascii="Arial" w:hAnsi="Arial" w:cs="Arial"/>
        </w:rPr>
        <w:t> %. Pri dovoze výrobkov a služieb zostal bez zmeny</w:t>
      </w:r>
      <w:r w:rsidR="002F2AEB" w:rsidRPr="00EE443B">
        <w:rPr>
          <w:rFonts w:ascii="Arial" w:hAnsi="Arial" w:cs="Arial"/>
        </w:rPr>
        <w:t>.</w:t>
      </w:r>
      <w:r w:rsidR="00A32365" w:rsidRPr="00404543">
        <w:rPr>
          <w:rStyle w:val="Odkaznapoznmkupodiarou"/>
          <w:rFonts w:ascii="Arial" w:hAnsi="Arial" w:cs="Arial"/>
          <w:szCs w:val="16"/>
        </w:rPr>
        <w:footnoteReference w:id="20"/>
      </w:r>
      <w:r w:rsidR="00A32365" w:rsidRPr="00404543">
        <w:rPr>
          <w:rStyle w:val="Odkaznapoznmkupodiarou"/>
          <w:rFonts w:ascii="Arial" w:hAnsi="Arial" w:cs="Arial"/>
          <w:szCs w:val="16"/>
        </w:rPr>
        <w:t>)</w:t>
      </w:r>
    </w:p>
    <w:p w14:paraId="059B283E" w14:textId="77777777" w:rsidR="00B41D89" w:rsidRDefault="00B41D89" w:rsidP="00457E2B"/>
    <w:p w14:paraId="16F2BB99" w14:textId="68E6E694" w:rsidR="000C6F1E" w:rsidRPr="009D0100" w:rsidRDefault="000C6F1E" w:rsidP="009F4B5C">
      <w:pPr>
        <w:tabs>
          <w:tab w:val="left" w:pos="426"/>
        </w:tabs>
        <w:rPr>
          <w:rFonts w:ascii="Arial" w:hAnsi="Arial"/>
          <w:b/>
          <w:caps/>
        </w:rPr>
      </w:pPr>
      <w:r w:rsidRPr="009D0100">
        <w:rPr>
          <w:rFonts w:ascii="Arial" w:hAnsi="Arial"/>
          <w:b/>
          <w:caps/>
        </w:rPr>
        <w:t>4. Trh práce</w:t>
      </w:r>
      <w:r w:rsidR="00DD479B">
        <w:rPr>
          <w:rFonts w:ascii="Arial" w:hAnsi="Arial"/>
          <w:b/>
          <w:caps/>
        </w:rPr>
        <w:t xml:space="preserve"> </w:t>
      </w:r>
    </w:p>
    <w:p w14:paraId="7913A40F" w14:textId="77777777" w:rsidR="000C6F1E" w:rsidRPr="009D0100" w:rsidRDefault="000C6F1E" w:rsidP="009F4B5C">
      <w:pPr>
        <w:tabs>
          <w:tab w:val="left" w:pos="426"/>
        </w:tabs>
        <w:rPr>
          <w:rFonts w:ascii="Arial" w:hAnsi="Arial"/>
          <w:b/>
          <w:caps/>
          <w:sz w:val="16"/>
          <w:szCs w:val="16"/>
        </w:rPr>
      </w:pPr>
    </w:p>
    <w:p w14:paraId="0189DE98" w14:textId="1B5EB1B2" w:rsidR="000C6F1E" w:rsidRPr="00F01CE3" w:rsidRDefault="000C6F1E" w:rsidP="009F4B5C">
      <w:pPr>
        <w:tabs>
          <w:tab w:val="left" w:pos="426"/>
        </w:tabs>
        <w:rPr>
          <w:rFonts w:ascii="Arial" w:hAnsi="Arial"/>
        </w:rPr>
      </w:pPr>
      <w:r w:rsidRPr="00F01CE3">
        <w:rPr>
          <w:rFonts w:ascii="Arial" w:hAnsi="Arial"/>
          <w:b/>
          <w:szCs w:val="22"/>
        </w:rPr>
        <w:t>4.</w:t>
      </w:r>
      <w:r w:rsidR="003454F9">
        <w:rPr>
          <w:rFonts w:ascii="Arial" w:hAnsi="Arial"/>
          <w:b/>
          <w:szCs w:val="22"/>
        </w:rPr>
        <w:t>1</w:t>
      </w:r>
      <w:r w:rsidRPr="00F01CE3">
        <w:rPr>
          <w:rFonts w:ascii="Arial" w:hAnsi="Arial"/>
          <w:b/>
          <w:szCs w:val="22"/>
        </w:rPr>
        <w:t> Ekonomická aktivita podľa Výberového zisťovania pracovných síl</w:t>
      </w:r>
      <w:r w:rsidRPr="00F01CE3">
        <w:rPr>
          <w:rStyle w:val="Odkaznapoznmkupodiarou"/>
          <w:rFonts w:ascii="Arial" w:hAnsi="Arial"/>
        </w:rPr>
        <w:footnoteReference w:id="21"/>
      </w:r>
      <w:r w:rsidRPr="00F01CE3">
        <w:rPr>
          <w:rStyle w:val="Odkaznapoznmkupodiarou"/>
          <w:rFonts w:ascii="Arial" w:hAnsi="Arial"/>
        </w:rPr>
        <w:t>)</w:t>
      </w:r>
      <w:r w:rsidRPr="00F01CE3">
        <w:rPr>
          <w:rFonts w:ascii="Arial" w:hAnsi="Arial"/>
        </w:rPr>
        <w:t xml:space="preserve"> </w:t>
      </w:r>
    </w:p>
    <w:p w14:paraId="212D2C89" w14:textId="4BBD337E" w:rsidR="000C6F1E" w:rsidRPr="00F01CE3" w:rsidRDefault="00DD479B" w:rsidP="009F4B5C">
      <w:pPr>
        <w:tabs>
          <w:tab w:val="left" w:pos="426"/>
        </w:tabs>
        <w:rPr>
          <w:rFonts w:ascii="Arial" w:hAnsi="Arial"/>
          <w:sz w:val="20"/>
        </w:rPr>
      </w:pPr>
      <w:r w:rsidRPr="00F01CE3">
        <w:t xml:space="preserve">   </w:t>
      </w:r>
      <w:r w:rsidR="000C6F1E" w:rsidRPr="00F01CE3">
        <w:rPr>
          <w:rFonts w:ascii="Arial" w:hAnsi="Arial"/>
          <w:sz w:val="20"/>
        </w:rPr>
        <w:t xml:space="preserve">(tab. </w:t>
      </w:r>
      <w:r w:rsidR="00CB648F" w:rsidRPr="00F01CE3">
        <w:rPr>
          <w:rFonts w:ascii="Arial" w:hAnsi="Arial"/>
          <w:sz w:val="20"/>
        </w:rPr>
        <w:t>T</w:t>
      </w:r>
      <w:r w:rsidR="000C6F1E" w:rsidRPr="00F01CE3">
        <w:rPr>
          <w:rFonts w:ascii="Arial" w:hAnsi="Arial"/>
          <w:sz w:val="20"/>
        </w:rPr>
        <w:t xml:space="preserve">2, </w:t>
      </w:r>
      <w:r w:rsidR="00CB648F" w:rsidRPr="00F01CE3">
        <w:rPr>
          <w:rFonts w:ascii="Arial" w:hAnsi="Arial"/>
          <w:sz w:val="20"/>
        </w:rPr>
        <w:t>T</w:t>
      </w:r>
      <w:r w:rsidR="000C6F1E" w:rsidRPr="00F01CE3">
        <w:rPr>
          <w:rFonts w:ascii="Arial" w:hAnsi="Arial"/>
          <w:sz w:val="20"/>
        </w:rPr>
        <w:t>2</w:t>
      </w:r>
      <w:r w:rsidR="00555D69" w:rsidRPr="00F01CE3">
        <w:rPr>
          <w:rFonts w:ascii="Arial" w:hAnsi="Arial"/>
          <w:sz w:val="20"/>
        </w:rPr>
        <w:t>2</w:t>
      </w:r>
      <w:r w:rsidR="000C6F1E" w:rsidRPr="00F01CE3">
        <w:rPr>
          <w:rFonts w:ascii="Arial" w:hAnsi="Arial"/>
          <w:sz w:val="20"/>
        </w:rPr>
        <w:t xml:space="preserve"> až </w:t>
      </w:r>
      <w:r w:rsidR="00CB648F" w:rsidRPr="00F01CE3">
        <w:rPr>
          <w:rFonts w:ascii="Arial" w:hAnsi="Arial"/>
          <w:sz w:val="20"/>
        </w:rPr>
        <w:t>T</w:t>
      </w:r>
      <w:r w:rsidR="00555D69" w:rsidRPr="00F01CE3">
        <w:rPr>
          <w:rFonts w:ascii="Arial" w:hAnsi="Arial"/>
          <w:sz w:val="20"/>
        </w:rPr>
        <w:t>24</w:t>
      </w:r>
      <w:r w:rsidR="000C6F1E" w:rsidRPr="00F01CE3">
        <w:rPr>
          <w:rFonts w:ascii="Arial" w:hAnsi="Arial"/>
          <w:sz w:val="20"/>
        </w:rPr>
        <w:t>)</w:t>
      </w:r>
    </w:p>
    <w:p w14:paraId="5D1249E7" w14:textId="77777777" w:rsidR="000C6F1E" w:rsidRPr="009D0100" w:rsidRDefault="000C6F1E" w:rsidP="009F4B5C">
      <w:pPr>
        <w:tabs>
          <w:tab w:val="left" w:pos="426"/>
        </w:tabs>
        <w:rPr>
          <w:rFonts w:ascii="Arial" w:hAnsi="Arial" w:cs="Arial"/>
          <w:sz w:val="16"/>
          <w:szCs w:val="16"/>
        </w:rPr>
      </w:pPr>
    </w:p>
    <w:p w14:paraId="65701E3B" w14:textId="0E29C04E" w:rsidR="00096814" w:rsidRPr="00CA2706" w:rsidRDefault="0068595F" w:rsidP="00096814">
      <w:pPr>
        <w:spacing w:after="120"/>
        <w:ind w:firstLine="284"/>
        <w:rPr>
          <w:rFonts w:ascii="Arial" w:hAnsi="Arial" w:cs="Arial"/>
        </w:rPr>
      </w:pPr>
      <w:r>
        <w:rPr>
          <w:rFonts w:ascii="Arial" w:hAnsi="Arial" w:cs="Arial"/>
          <w:b/>
        </w:rPr>
        <w:t>Počet pracujúcich</w:t>
      </w:r>
      <w:r w:rsidRPr="002161D1">
        <w:rPr>
          <w:rStyle w:val="Odkaznapoznmkupodiarou"/>
          <w:rFonts w:ascii="Arial" w:hAnsi="Arial" w:cs="Arial"/>
          <w:szCs w:val="16"/>
        </w:rPr>
        <w:footnoteReference w:id="22"/>
      </w:r>
      <w:r w:rsidRPr="002161D1">
        <w:rPr>
          <w:rStyle w:val="Odkaznapoznmkupodiarou"/>
          <w:rFonts w:ascii="Arial" w:hAnsi="Arial" w:cs="Arial"/>
          <w:szCs w:val="16"/>
        </w:rPr>
        <w:t>)</w:t>
      </w:r>
      <w:r w:rsidR="00BA5A95" w:rsidRPr="00B72A54">
        <w:rPr>
          <w:rFonts w:ascii="Arial" w:hAnsi="Arial" w:cs="Arial"/>
        </w:rPr>
        <w:t xml:space="preserve"> </w:t>
      </w:r>
      <w:r w:rsidR="00096814" w:rsidRPr="00083F75">
        <w:rPr>
          <w:rFonts w:ascii="Arial" w:hAnsi="Arial" w:cs="Arial"/>
        </w:rPr>
        <w:t xml:space="preserve">na Slovensku </w:t>
      </w:r>
      <w:r w:rsidR="00096814" w:rsidRPr="00CA2706">
        <w:rPr>
          <w:rFonts w:ascii="Arial" w:hAnsi="Arial" w:cs="Arial"/>
        </w:rPr>
        <w:t>podľa Výberového zisťovania pracovných síl (VZPS)</w:t>
      </w:r>
      <w:r w:rsidR="0064105C">
        <w:rPr>
          <w:rFonts w:ascii="Arial" w:hAnsi="Arial" w:cs="Arial"/>
          <w:vertAlign w:val="superscript"/>
        </w:rPr>
        <w:t xml:space="preserve"> </w:t>
      </w:r>
      <w:r w:rsidR="00096814" w:rsidRPr="00CA2706">
        <w:rPr>
          <w:rFonts w:ascii="Arial" w:hAnsi="Arial" w:cs="Arial"/>
        </w:rPr>
        <w:t>v poslednom štvrťroku 2025 prekročil 2 milióny 626-tisíc osôb. Medziročný pokles, ktorý pretrval v troch štvrťrokoch</w:t>
      </w:r>
      <w:r w:rsidR="00096814">
        <w:rPr>
          <w:rFonts w:ascii="Arial" w:hAnsi="Arial" w:cs="Arial"/>
        </w:rPr>
        <w:t>,</w:t>
      </w:r>
      <w:r w:rsidR="00096814" w:rsidRPr="00CA2706">
        <w:rPr>
          <w:rFonts w:ascii="Arial" w:hAnsi="Arial" w:cs="Arial"/>
        </w:rPr>
        <w:t xml:space="preserve"> sa prehĺbil na 0,8 %. Zamestnanosť v SR po sezónnom očistení oproti 3. štvrťroku poklesla o 0,2 % na vyše 2 milióny 602-tisíc pracujúcich.</w:t>
      </w:r>
    </w:p>
    <w:p w14:paraId="1944B865" w14:textId="77777777" w:rsidR="00096814" w:rsidRPr="00E34D0A" w:rsidRDefault="00096814" w:rsidP="00096814">
      <w:pPr>
        <w:spacing w:after="120"/>
        <w:ind w:firstLine="284"/>
        <w:rPr>
          <w:rFonts w:ascii="Arial" w:hAnsi="Arial" w:cs="Arial"/>
        </w:rPr>
      </w:pPr>
      <w:r w:rsidRPr="00CA2706">
        <w:rPr>
          <w:rFonts w:ascii="Arial" w:hAnsi="Arial" w:cs="Arial"/>
          <w:b/>
        </w:rPr>
        <w:t>Miera zamestnanosti</w:t>
      </w:r>
      <w:r>
        <w:rPr>
          <w:rFonts w:ascii="Arial" w:hAnsi="Arial" w:cs="Arial"/>
          <w:b/>
        </w:rPr>
        <w:t>,</w:t>
      </w:r>
      <w:r w:rsidRPr="00083F75">
        <w:rPr>
          <w:rFonts w:ascii="Arial" w:hAnsi="Arial" w:cs="Arial"/>
        </w:rPr>
        <w:t xml:space="preserve"> </w:t>
      </w:r>
      <w:r w:rsidRPr="00E34D0A">
        <w:rPr>
          <w:rFonts w:ascii="Arial" w:hAnsi="Arial" w:cs="Arial"/>
        </w:rPr>
        <w:t>vyjadruj</w:t>
      </w:r>
      <w:r>
        <w:rPr>
          <w:rFonts w:ascii="Arial" w:hAnsi="Arial" w:cs="Arial"/>
        </w:rPr>
        <w:t>úca</w:t>
      </w:r>
      <w:r w:rsidRPr="00E34D0A">
        <w:rPr>
          <w:rFonts w:ascii="Arial" w:hAnsi="Arial" w:cs="Arial"/>
        </w:rPr>
        <w:t xml:space="preserve"> podiel pracujúcich </w:t>
      </w:r>
      <w:r w:rsidRPr="00CA20F8">
        <w:rPr>
          <w:rFonts w:ascii="Arial" w:hAnsi="Arial" w:cs="Arial"/>
        </w:rPr>
        <w:t>z počtu obyvateľov</w:t>
      </w:r>
      <w:r>
        <w:rPr>
          <w:rFonts w:ascii="Arial" w:hAnsi="Arial" w:cs="Arial"/>
        </w:rPr>
        <w:t xml:space="preserve"> </w:t>
      </w:r>
      <w:r w:rsidRPr="00C04986">
        <w:rPr>
          <w:rFonts w:ascii="Arial" w:hAnsi="Arial" w:cs="Arial"/>
        </w:rPr>
        <w:t xml:space="preserve">vo veku 20 </w:t>
      </w:r>
      <w:r>
        <w:rPr>
          <w:rFonts w:ascii="Arial" w:hAnsi="Arial" w:cs="Arial"/>
        </w:rPr>
        <w:t>až</w:t>
      </w:r>
      <w:r w:rsidRPr="00C04986">
        <w:rPr>
          <w:rFonts w:ascii="Arial" w:hAnsi="Arial" w:cs="Arial"/>
        </w:rPr>
        <w:t xml:space="preserve"> 64 rokov</w:t>
      </w:r>
      <w:r>
        <w:rPr>
          <w:rFonts w:ascii="Arial" w:hAnsi="Arial" w:cs="Arial"/>
        </w:rPr>
        <w:t>,</w:t>
      </w:r>
      <w:r w:rsidRPr="00E34D0A">
        <w:rPr>
          <w:rFonts w:ascii="Arial" w:hAnsi="Arial" w:cs="Arial"/>
        </w:rPr>
        <w:t xml:space="preserve"> medziročne </w:t>
      </w:r>
      <w:r>
        <w:rPr>
          <w:rFonts w:ascii="Arial" w:hAnsi="Arial" w:cs="Arial"/>
        </w:rPr>
        <w:t>klesla o 0,4</w:t>
      </w:r>
      <w:r w:rsidRPr="00E34D0A">
        <w:rPr>
          <w:rFonts w:ascii="Arial" w:hAnsi="Arial" w:cs="Arial"/>
        </w:rPr>
        <w:t xml:space="preserve"> percentuálneho bodu (p. b.) na 78,</w:t>
      </w:r>
      <w:r>
        <w:rPr>
          <w:rFonts w:ascii="Arial" w:hAnsi="Arial" w:cs="Arial"/>
        </w:rPr>
        <w:t>4 %</w:t>
      </w:r>
      <w:r w:rsidRPr="00E34D0A">
        <w:rPr>
          <w:rFonts w:ascii="Arial" w:hAnsi="Arial" w:cs="Arial"/>
        </w:rPr>
        <w:t xml:space="preserve">. </w:t>
      </w:r>
    </w:p>
    <w:p w14:paraId="7C62B0F0" w14:textId="77777777" w:rsidR="00096814" w:rsidRPr="00F8443B" w:rsidRDefault="00096814" w:rsidP="00096814">
      <w:pPr>
        <w:spacing w:after="120"/>
        <w:ind w:firstLine="284"/>
        <w:rPr>
          <w:rFonts w:ascii="Arial" w:hAnsi="Arial" w:cs="Arial"/>
        </w:rPr>
      </w:pPr>
      <w:r w:rsidRPr="00F8443B">
        <w:rPr>
          <w:rFonts w:ascii="Arial" w:hAnsi="Arial" w:cs="Arial"/>
        </w:rPr>
        <w:t xml:space="preserve">Celkovo </w:t>
      </w:r>
      <w:r>
        <w:rPr>
          <w:rFonts w:ascii="Arial" w:hAnsi="Arial" w:cs="Arial"/>
        </w:rPr>
        <w:t xml:space="preserve">počas 4. štvrťroka 2025 </w:t>
      </w:r>
      <w:r w:rsidRPr="00F8443B">
        <w:rPr>
          <w:rFonts w:ascii="Arial" w:hAnsi="Arial" w:cs="Arial"/>
        </w:rPr>
        <w:t>zamestnanosť medziročne vzrástla v</w:t>
      </w:r>
      <w:r>
        <w:rPr>
          <w:rFonts w:ascii="Arial" w:hAnsi="Arial" w:cs="Arial"/>
        </w:rPr>
        <w:t xml:space="preserve"> 7 z </w:t>
      </w:r>
      <w:r w:rsidRPr="00F8443B">
        <w:rPr>
          <w:rFonts w:ascii="Arial" w:hAnsi="Arial" w:cs="Arial"/>
        </w:rPr>
        <w:t>18 sledovaných odvetví ekonomiky</w:t>
      </w:r>
      <w:r>
        <w:rPr>
          <w:rFonts w:ascii="Arial" w:hAnsi="Arial" w:cs="Arial"/>
        </w:rPr>
        <w:t>.</w:t>
      </w:r>
      <w:r w:rsidRPr="00F8443B">
        <w:rPr>
          <w:rFonts w:ascii="Arial" w:hAnsi="Arial" w:cs="Arial"/>
        </w:rPr>
        <w:t xml:space="preserve"> </w:t>
      </w:r>
      <w:r>
        <w:rPr>
          <w:rFonts w:ascii="Arial" w:hAnsi="Arial" w:cs="Arial"/>
        </w:rPr>
        <w:t xml:space="preserve">Najväčší počet, takmer 1,7 milióna osôb, naďalej pracoval </w:t>
      </w:r>
      <w:r w:rsidRPr="00F8443B">
        <w:rPr>
          <w:rFonts w:ascii="Arial" w:hAnsi="Arial" w:cs="Arial"/>
        </w:rPr>
        <w:t>v</w:t>
      </w:r>
      <w:r>
        <w:rPr>
          <w:rFonts w:ascii="Arial" w:hAnsi="Arial" w:cs="Arial"/>
        </w:rPr>
        <w:t> </w:t>
      </w:r>
      <w:r w:rsidRPr="007D019C">
        <w:rPr>
          <w:rFonts w:ascii="Arial" w:hAnsi="Arial" w:cs="Arial"/>
          <w:b/>
        </w:rPr>
        <w:t>službách</w:t>
      </w:r>
      <w:r w:rsidRPr="00083F75">
        <w:rPr>
          <w:rFonts w:ascii="Arial" w:hAnsi="Arial" w:cs="Arial"/>
        </w:rPr>
        <w:t>,</w:t>
      </w:r>
      <w:r>
        <w:rPr>
          <w:rFonts w:ascii="Arial" w:hAnsi="Arial" w:cs="Arial"/>
          <w:b/>
        </w:rPr>
        <w:t xml:space="preserve"> </w:t>
      </w:r>
      <w:r w:rsidRPr="00083F75">
        <w:rPr>
          <w:rFonts w:ascii="Arial" w:hAnsi="Arial" w:cs="Arial"/>
        </w:rPr>
        <w:t xml:space="preserve">pri miernom medziročnom poklese </w:t>
      </w:r>
      <w:r>
        <w:rPr>
          <w:rFonts w:ascii="Arial" w:hAnsi="Arial" w:cs="Arial"/>
        </w:rPr>
        <w:t xml:space="preserve">zamestnanosti v tomto sektore </w:t>
      </w:r>
      <w:r w:rsidRPr="00083F75">
        <w:rPr>
          <w:rFonts w:ascii="Arial" w:hAnsi="Arial" w:cs="Arial"/>
        </w:rPr>
        <w:t>o</w:t>
      </w:r>
      <w:r w:rsidRPr="0064105C">
        <w:rPr>
          <w:rFonts w:ascii="Arial" w:hAnsi="Arial" w:cs="Arial"/>
          <w:bCs/>
        </w:rPr>
        <w:t xml:space="preserve"> </w:t>
      </w:r>
      <w:r>
        <w:rPr>
          <w:rFonts w:ascii="Arial" w:hAnsi="Arial" w:cs="Arial"/>
        </w:rPr>
        <w:t>3,6-</w:t>
      </w:r>
      <w:r w:rsidRPr="00F8443B">
        <w:rPr>
          <w:rFonts w:ascii="Arial" w:hAnsi="Arial" w:cs="Arial"/>
        </w:rPr>
        <w:t xml:space="preserve">tisíc </w:t>
      </w:r>
      <w:r>
        <w:rPr>
          <w:rFonts w:ascii="Arial" w:hAnsi="Arial" w:cs="Arial"/>
        </w:rPr>
        <w:t>pracujúcich. V</w:t>
      </w:r>
      <w:r w:rsidRPr="00F8443B">
        <w:rPr>
          <w:rFonts w:ascii="Arial" w:hAnsi="Arial" w:cs="Arial"/>
        </w:rPr>
        <w:t xml:space="preserve">o </w:t>
      </w:r>
      <w:r w:rsidRPr="007D019C">
        <w:rPr>
          <w:rFonts w:ascii="Arial" w:hAnsi="Arial" w:cs="Arial"/>
          <w:b/>
        </w:rPr>
        <w:t>výrobných odvetviach</w:t>
      </w:r>
      <w:r w:rsidRPr="00F8443B">
        <w:rPr>
          <w:rFonts w:ascii="Arial" w:hAnsi="Arial" w:cs="Arial"/>
        </w:rPr>
        <w:t> </w:t>
      </w:r>
      <w:r>
        <w:rPr>
          <w:rFonts w:ascii="Arial" w:hAnsi="Arial" w:cs="Arial"/>
        </w:rPr>
        <w:t>však</w:t>
      </w:r>
      <w:r w:rsidRPr="00F8443B">
        <w:rPr>
          <w:rFonts w:ascii="Arial" w:hAnsi="Arial" w:cs="Arial"/>
        </w:rPr>
        <w:t xml:space="preserve"> ubudlo </w:t>
      </w:r>
      <w:r>
        <w:rPr>
          <w:rFonts w:ascii="Arial" w:hAnsi="Arial" w:cs="Arial"/>
        </w:rPr>
        <w:t>viac ako 17</w:t>
      </w:r>
      <w:r w:rsidRPr="00F8443B">
        <w:rPr>
          <w:rFonts w:ascii="Arial" w:hAnsi="Arial" w:cs="Arial"/>
        </w:rPr>
        <w:t xml:space="preserve">-tisíc </w:t>
      </w:r>
      <w:r>
        <w:rPr>
          <w:rFonts w:ascii="Arial" w:hAnsi="Arial" w:cs="Arial"/>
        </w:rPr>
        <w:t>osôb, zamestnanosť klesala výraznejšie a dosiahla úroveň 953-tisíc pracujúcich. Na trhu práce vo výrobnom sektore tak pretrval už rok a pol súvislý pokles.</w:t>
      </w:r>
    </w:p>
    <w:p w14:paraId="6A1CA264" w14:textId="712AD481" w:rsidR="00F01CE3" w:rsidRPr="00B1763F" w:rsidRDefault="00096814" w:rsidP="00096814">
      <w:pPr>
        <w:spacing w:after="100"/>
        <w:ind w:firstLine="284"/>
        <w:rPr>
          <w:rFonts w:ascii="Arial" w:hAnsi="Arial" w:cs="Arial"/>
          <w:bCs/>
        </w:rPr>
      </w:pPr>
      <w:r>
        <w:rPr>
          <w:rFonts w:ascii="Arial" w:hAnsi="Arial" w:cs="Arial"/>
        </w:rPr>
        <w:t>Nepriaznivý v</w:t>
      </w:r>
      <w:r w:rsidRPr="00E34D0A">
        <w:rPr>
          <w:rFonts w:ascii="Arial" w:hAnsi="Arial" w:cs="Arial"/>
        </w:rPr>
        <w:t xml:space="preserve">ývoj zamestnanosti v službách </w:t>
      </w:r>
      <w:r>
        <w:rPr>
          <w:rFonts w:ascii="Arial" w:hAnsi="Arial" w:cs="Arial"/>
        </w:rPr>
        <w:t>v najväčšej miere zapríčinil</w:t>
      </w:r>
      <w:r w:rsidRPr="00E34D0A">
        <w:rPr>
          <w:rFonts w:ascii="Arial" w:hAnsi="Arial" w:cs="Arial"/>
        </w:rPr>
        <w:t xml:space="preserve"> </w:t>
      </w:r>
      <w:r>
        <w:rPr>
          <w:rFonts w:ascii="Arial" w:hAnsi="Arial" w:cs="Arial"/>
        </w:rPr>
        <w:t>pokračujúci úbytok</w:t>
      </w:r>
      <w:r w:rsidRPr="00E34D0A">
        <w:rPr>
          <w:rFonts w:ascii="Arial" w:hAnsi="Arial" w:cs="Arial"/>
        </w:rPr>
        <w:t xml:space="preserve"> pracujúcich vo veľkoobchode a</w:t>
      </w:r>
      <w:r>
        <w:rPr>
          <w:rFonts w:ascii="Arial" w:hAnsi="Arial" w:cs="Arial"/>
        </w:rPr>
        <w:t> </w:t>
      </w:r>
      <w:r w:rsidRPr="00E34D0A">
        <w:rPr>
          <w:rFonts w:ascii="Arial" w:hAnsi="Arial" w:cs="Arial"/>
        </w:rPr>
        <w:t>maloobchode</w:t>
      </w:r>
      <w:r>
        <w:rPr>
          <w:rFonts w:ascii="Arial" w:hAnsi="Arial" w:cs="Arial"/>
        </w:rPr>
        <w:t>,</w:t>
      </w:r>
      <w:r w:rsidRPr="00E34D0A">
        <w:rPr>
          <w:rFonts w:ascii="Arial" w:hAnsi="Arial" w:cs="Arial"/>
        </w:rPr>
        <w:t xml:space="preserve"> </w:t>
      </w:r>
      <w:r>
        <w:rPr>
          <w:rFonts w:ascii="Arial" w:hAnsi="Arial" w:cs="Arial"/>
        </w:rPr>
        <w:t xml:space="preserve">aktuálne </w:t>
      </w:r>
      <w:r w:rsidRPr="00E34D0A">
        <w:rPr>
          <w:rFonts w:ascii="Arial" w:hAnsi="Arial" w:cs="Arial"/>
        </w:rPr>
        <w:t xml:space="preserve">o vyše </w:t>
      </w:r>
      <w:r>
        <w:rPr>
          <w:rFonts w:ascii="Arial" w:hAnsi="Arial" w:cs="Arial"/>
        </w:rPr>
        <w:t>10-tisíc osôb (o 3,2 %).</w:t>
      </w:r>
      <w:r w:rsidRPr="00E34D0A">
        <w:rPr>
          <w:rFonts w:ascii="Arial" w:hAnsi="Arial" w:cs="Arial"/>
        </w:rPr>
        <w:t xml:space="preserve"> </w:t>
      </w:r>
      <w:r>
        <w:rPr>
          <w:rFonts w:ascii="Arial" w:hAnsi="Arial" w:cs="Arial"/>
        </w:rPr>
        <w:t xml:space="preserve">Popri obchode najviac ubudlo pracujúcich v doprave a skladovaní a vzdelávaní, v porovnateľnej miere o 1,5 % a 1,3 % (v každom takmer 3-tisíc osôb). </w:t>
      </w:r>
      <w:r w:rsidRPr="00E34D0A">
        <w:rPr>
          <w:rFonts w:ascii="Arial" w:hAnsi="Arial" w:cs="Arial"/>
        </w:rPr>
        <w:t xml:space="preserve">Z veľkých odvetví služieb zamestnávajúcich nad 150-tisíc ľudí medziročne rástol počet pracujúcich </w:t>
      </w:r>
      <w:r>
        <w:rPr>
          <w:rFonts w:ascii="Arial" w:hAnsi="Arial" w:cs="Arial"/>
        </w:rPr>
        <w:t xml:space="preserve">len v zdravotníctve </w:t>
      </w:r>
      <w:r>
        <w:rPr>
          <w:rFonts w:ascii="Arial" w:hAnsi="Arial" w:cs="Arial"/>
        </w:rPr>
        <w:lastRenderedPageBreak/>
        <w:t>a sociálnej pomoci o minimálnych 0,1 %.</w:t>
      </w:r>
      <w:r w:rsidR="00F01CE3" w:rsidRPr="00B1763F">
        <w:rPr>
          <w:rFonts w:ascii="Arial" w:hAnsi="Arial" w:cs="Arial"/>
          <w:bCs/>
        </w:rPr>
        <w:t xml:space="preserve"> </w:t>
      </w:r>
    </w:p>
    <w:p w14:paraId="5196E210" w14:textId="77777777" w:rsidR="00096814" w:rsidRDefault="00096814" w:rsidP="00096814">
      <w:pPr>
        <w:spacing w:after="120"/>
        <w:ind w:firstLine="284"/>
        <w:rPr>
          <w:rFonts w:ascii="Arial" w:hAnsi="Arial" w:cs="Arial"/>
        </w:rPr>
      </w:pPr>
      <w:r>
        <w:rPr>
          <w:rFonts w:ascii="Arial" w:hAnsi="Arial" w:cs="Arial"/>
        </w:rPr>
        <w:t>Z</w:t>
      </w:r>
      <w:r w:rsidRPr="00E34D0A">
        <w:rPr>
          <w:rFonts w:ascii="Arial" w:hAnsi="Arial" w:cs="Arial"/>
        </w:rPr>
        <w:t xml:space="preserve"> </w:t>
      </w:r>
      <w:r>
        <w:rPr>
          <w:rFonts w:ascii="Arial" w:hAnsi="Arial" w:cs="Arial"/>
        </w:rPr>
        <w:t xml:space="preserve">troch </w:t>
      </w:r>
      <w:r w:rsidRPr="00E34D0A">
        <w:rPr>
          <w:rFonts w:ascii="Arial" w:hAnsi="Arial" w:cs="Arial"/>
          <w:b/>
        </w:rPr>
        <w:t>výrobných odvetví</w:t>
      </w:r>
      <w:r w:rsidRPr="00E34D0A">
        <w:rPr>
          <w:rFonts w:ascii="Arial" w:hAnsi="Arial" w:cs="Arial"/>
        </w:rPr>
        <w:t xml:space="preserve"> </w:t>
      </w:r>
      <w:r>
        <w:rPr>
          <w:rFonts w:ascii="Arial" w:hAnsi="Arial" w:cs="Arial"/>
        </w:rPr>
        <w:t xml:space="preserve">pokles ovplyvnil najmä priemysel. Líder podľa zamestnanosti v slovenskej ekonomike medziročne prišiel takmer o 16-tisíc pracujúcich (o 2,4 %) a zamestnával 638-tisíc ľudí v poslednom štvrťroku 2025. Pokles pracujúcich (o 3,4 %) nastal aj v stavebníctve a toto odvetvie naviazané prevažne na domáci dopyt opustilo 8,8-tisíc osôb. Naopak v poľnohospodárstve, ktoré je najmenším z výrobných odvetví pokračoval rast zamestnanosti (o 13,3 %) a zaznamenalo viac pracujúcich ako pred rokom (o 7,3-tisíc osôb). </w:t>
      </w:r>
    </w:p>
    <w:p w14:paraId="246B5B74" w14:textId="77777777" w:rsidR="00096814" w:rsidRPr="00096814" w:rsidRDefault="00096814" w:rsidP="00096814">
      <w:pPr>
        <w:spacing w:after="120"/>
        <w:ind w:firstLine="284"/>
        <w:rPr>
          <w:rFonts w:ascii="Arial" w:hAnsi="Arial" w:cs="Arial"/>
        </w:rPr>
      </w:pPr>
      <w:r w:rsidRPr="00096814">
        <w:rPr>
          <w:rFonts w:ascii="Arial" w:hAnsi="Arial" w:cs="Arial"/>
        </w:rPr>
        <w:t>Podľa vekového zloženia pokračoval na trhu práce dlhodobý trend úbytku mladších pracujúcich. V poslednom štvrťroku minulého roka došlo k poklesu (o 5,7 %) najmä v skupine od 25 do 34 rokov (necelých 32-tisíc osôb). Naopak všetky vekové skupiny od 50 rokov medziročne naberali a najviac (4,3 %) pracujúcich pribudlo vo veku od 50 do 54 rokov (14-tisíc osôb).</w:t>
      </w:r>
    </w:p>
    <w:p w14:paraId="18D77CE3" w14:textId="5D879FBD" w:rsidR="00F01CE3" w:rsidRPr="001D05B7" w:rsidRDefault="00096814" w:rsidP="00096814">
      <w:pPr>
        <w:spacing w:after="120"/>
        <w:ind w:firstLine="284"/>
        <w:rPr>
          <w:rFonts w:ascii="Arial" w:hAnsi="Arial" w:cs="Arial"/>
        </w:rPr>
      </w:pPr>
      <w:r w:rsidRPr="0064105C">
        <w:rPr>
          <w:rFonts w:ascii="Arial" w:hAnsi="Arial" w:cs="Arial"/>
          <w:bCs/>
        </w:rPr>
        <w:t>Z regionálneho hľadiska</w:t>
      </w:r>
      <w:r w:rsidRPr="003561B2">
        <w:rPr>
          <w:rFonts w:ascii="Arial" w:hAnsi="Arial" w:cs="Arial"/>
        </w:rPr>
        <w:t xml:space="preserve"> počet pracujúcich</w:t>
      </w:r>
      <w:r w:rsidRPr="003561B2" w:rsidDel="0088061E">
        <w:rPr>
          <w:rFonts w:ascii="Arial" w:hAnsi="Arial" w:cs="Arial"/>
        </w:rPr>
        <w:t xml:space="preserve"> </w:t>
      </w:r>
      <w:r>
        <w:rPr>
          <w:rFonts w:ascii="Arial" w:hAnsi="Arial" w:cs="Arial"/>
        </w:rPr>
        <w:t>vo</w:t>
      </w:r>
      <w:r w:rsidRPr="003561B2">
        <w:rPr>
          <w:rFonts w:ascii="Arial" w:hAnsi="Arial" w:cs="Arial"/>
        </w:rPr>
        <w:t> 4. štvrťroku 202</w:t>
      </w:r>
      <w:r>
        <w:rPr>
          <w:rFonts w:ascii="Arial" w:hAnsi="Arial" w:cs="Arial"/>
        </w:rPr>
        <w:t>5</w:t>
      </w:r>
      <w:r w:rsidRPr="003561B2">
        <w:rPr>
          <w:rFonts w:ascii="Arial" w:hAnsi="Arial" w:cs="Arial"/>
        </w:rPr>
        <w:t xml:space="preserve"> medziročne vzrástol </w:t>
      </w:r>
      <w:r>
        <w:rPr>
          <w:rFonts w:ascii="Arial" w:hAnsi="Arial" w:cs="Arial"/>
        </w:rPr>
        <w:t>(o 2,4 %)</w:t>
      </w:r>
      <w:r w:rsidRPr="003561B2">
        <w:rPr>
          <w:rFonts w:ascii="Arial" w:hAnsi="Arial" w:cs="Arial"/>
        </w:rPr>
        <w:t xml:space="preserve"> </w:t>
      </w:r>
      <w:r>
        <w:rPr>
          <w:rFonts w:ascii="Arial" w:hAnsi="Arial" w:cs="Arial"/>
        </w:rPr>
        <w:t xml:space="preserve">iba </w:t>
      </w:r>
      <w:r w:rsidRPr="003561B2">
        <w:rPr>
          <w:rFonts w:ascii="Arial" w:hAnsi="Arial" w:cs="Arial"/>
        </w:rPr>
        <w:t>v</w:t>
      </w:r>
      <w:r>
        <w:rPr>
          <w:rFonts w:ascii="Arial" w:hAnsi="Arial" w:cs="Arial"/>
        </w:rPr>
        <w:t> </w:t>
      </w:r>
      <w:r w:rsidRPr="003561B2">
        <w:rPr>
          <w:rFonts w:ascii="Arial" w:hAnsi="Arial" w:cs="Arial"/>
        </w:rPr>
        <w:t xml:space="preserve">Trnavskom kraji (o </w:t>
      </w:r>
      <w:r>
        <w:rPr>
          <w:rFonts w:ascii="Arial" w:hAnsi="Arial" w:cs="Arial"/>
        </w:rPr>
        <w:t>6,8</w:t>
      </w:r>
      <w:r w:rsidRPr="003561B2">
        <w:rPr>
          <w:rFonts w:ascii="Arial" w:hAnsi="Arial" w:cs="Arial"/>
        </w:rPr>
        <w:t xml:space="preserve"> tisíc</w:t>
      </w:r>
      <w:r>
        <w:rPr>
          <w:rFonts w:ascii="Arial" w:hAnsi="Arial" w:cs="Arial"/>
        </w:rPr>
        <w:t>a</w:t>
      </w:r>
      <w:r w:rsidRPr="003561B2">
        <w:rPr>
          <w:rFonts w:ascii="Arial" w:hAnsi="Arial" w:cs="Arial"/>
        </w:rPr>
        <w:t xml:space="preserve"> osôb)</w:t>
      </w:r>
      <w:r>
        <w:rPr>
          <w:rFonts w:ascii="Arial" w:hAnsi="Arial" w:cs="Arial"/>
        </w:rPr>
        <w:t>. Zamestnanosť v tejto časti západného Slovenska tak  stúpla na 291-tisíc osôb a bola najvyššia za ostatné 4 roky. Všetky zvyšné kraje zaznamenali pokles tohto dôležitého ukazovateľa, pričom najhlbší bol v Banskobystrickom kraji</w:t>
      </w:r>
      <w:r w:rsidRPr="003561B2">
        <w:rPr>
          <w:rFonts w:ascii="Arial" w:hAnsi="Arial" w:cs="Arial"/>
        </w:rPr>
        <w:t xml:space="preserve"> (o </w:t>
      </w:r>
      <w:r>
        <w:rPr>
          <w:rFonts w:ascii="Arial" w:hAnsi="Arial" w:cs="Arial"/>
        </w:rPr>
        <w:t>vyše 7-</w:t>
      </w:r>
      <w:r w:rsidRPr="003561B2">
        <w:rPr>
          <w:rFonts w:ascii="Arial" w:hAnsi="Arial" w:cs="Arial"/>
        </w:rPr>
        <w:t>tisíc osôb)</w:t>
      </w:r>
      <w:r>
        <w:rPr>
          <w:rFonts w:ascii="Arial" w:hAnsi="Arial" w:cs="Arial"/>
        </w:rPr>
        <w:t>.</w:t>
      </w:r>
      <w:r w:rsidR="00F01CE3">
        <w:rPr>
          <w:rFonts w:ascii="Arial" w:hAnsi="Arial" w:cs="Arial"/>
        </w:rPr>
        <w:t xml:space="preserve"> </w:t>
      </w:r>
    </w:p>
    <w:p w14:paraId="2F2F34AB" w14:textId="7F1D6F8D" w:rsidR="00BA5A95" w:rsidRPr="00B72A54" w:rsidRDefault="00096814" w:rsidP="00F01CE3">
      <w:pPr>
        <w:spacing w:after="100"/>
        <w:ind w:firstLine="284"/>
        <w:rPr>
          <w:rFonts w:ascii="Arial" w:hAnsi="Arial" w:cs="Arial"/>
        </w:rPr>
      </w:pPr>
      <w:r w:rsidRPr="003207E5">
        <w:rPr>
          <w:rFonts w:ascii="Arial" w:hAnsi="Arial" w:cs="Arial"/>
          <w:b/>
        </w:rPr>
        <w:t xml:space="preserve">Mieru </w:t>
      </w:r>
      <w:r w:rsidRPr="001541F0">
        <w:rPr>
          <w:rFonts w:ascii="Arial" w:hAnsi="Arial" w:cs="Arial"/>
          <w:b/>
        </w:rPr>
        <w:t>zamestnanosti</w:t>
      </w:r>
      <w:r w:rsidRPr="00692BCE">
        <w:rPr>
          <w:rFonts w:ascii="Arial" w:hAnsi="Arial" w:cs="Arial"/>
        </w:rPr>
        <w:t xml:space="preserve"> nad 80</w:t>
      </w:r>
      <w:r>
        <w:rPr>
          <w:rFonts w:ascii="Arial" w:hAnsi="Arial" w:cs="Arial"/>
        </w:rPr>
        <w:t> %</w:t>
      </w:r>
      <w:r w:rsidRPr="00692BCE">
        <w:rPr>
          <w:rFonts w:ascii="Arial" w:hAnsi="Arial" w:cs="Arial"/>
        </w:rPr>
        <w:t xml:space="preserve"> dosiahli okrem domin</w:t>
      </w:r>
      <w:r>
        <w:rPr>
          <w:rFonts w:ascii="Arial" w:hAnsi="Arial" w:cs="Arial"/>
        </w:rPr>
        <w:t>antného</w:t>
      </w:r>
      <w:r w:rsidRPr="00692BCE">
        <w:rPr>
          <w:rFonts w:ascii="Arial" w:hAnsi="Arial" w:cs="Arial"/>
        </w:rPr>
        <w:t xml:space="preserve"> Bratislavského kraja </w:t>
      </w:r>
      <w:r>
        <w:rPr>
          <w:rFonts w:ascii="Arial" w:hAnsi="Arial" w:cs="Arial"/>
        </w:rPr>
        <w:t xml:space="preserve">ešte aj </w:t>
      </w:r>
      <w:r w:rsidRPr="00692BCE">
        <w:rPr>
          <w:rFonts w:ascii="Arial" w:hAnsi="Arial" w:cs="Arial"/>
        </w:rPr>
        <w:t>Žilinský</w:t>
      </w:r>
      <w:r>
        <w:rPr>
          <w:rFonts w:ascii="Arial" w:hAnsi="Arial" w:cs="Arial"/>
        </w:rPr>
        <w:t xml:space="preserve"> a Trnavský </w:t>
      </w:r>
      <w:r w:rsidRPr="00692BCE">
        <w:rPr>
          <w:rFonts w:ascii="Arial" w:hAnsi="Arial" w:cs="Arial"/>
        </w:rPr>
        <w:t>kraj</w:t>
      </w:r>
      <w:r>
        <w:rPr>
          <w:rFonts w:ascii="Arial" w:hAnsi="Arial" w:cs="Arial"/>
        </w:rPr>
        <w:t>, v Trenčianskom však bola už druhý krát za sebou tesne pod touto hranicou.</w:t>
      </w:r>
      <w:r w:rsidRPr="00B67FED">
        <w:rPr>
          <w:rFonts w:ascii="Arial" w:hAnsi="Arial" w:cs="Arial"/>
        </w:rPr>
        <w:t xml:space="preserve"> Najvýraznejšia </w:t>
      </w:r>
      <w:r>
        <w:rPr>
          <w:rFonts w:ascii="Arial" w:hAnsi="Arial" w:cs="Arial"/>
        </w:rPr>
        <w:t xml:space="preserve">medziročná </w:t>
      </w:r>
      <w:r w:rsidRPr="00B67FED">
        <w:rPr>
          <w:rFonts w:ascii="Arial" w:hAnsi="Arial" w:cs="Arial"/>
        </w:rPr>
        <w:t>zmena nastala v</w:t>
      </w:r>
      <w:r>
        <w:rPr>
          <w:rFonts w:ascii="Arial" w:hAnsi="Arial" w:cs="Arial"/>
        </w:rPr>
        <w:t xml:space="preserve"> Banskobystrickom </w:t>
      </w:r>
      <w:r w:rsidRPr="00B67FED">
        <w:rPr>
          <w:rFonts w:ascii="Arial" w:hAnsi="Arial" w:cs="Arial"/>
        </w:rPr>
        <w:t>kraji</w:t>
      </w:r>
      <w:r>
        <w:rPr>
          <w:rFonts w:ascii="Arial" w:hAnsi="Arial" w:cs="Arial"/>
        </w:rPr>
        <w:t xml:space="preserve"> po poklese </w:t>
      </w:r>
      <w:r w:rsidRPr="00B67FED">
        <w:rPr>
          <w:rFonts w:ascii="Arial" w:hAnsi="Arial" w:cs="Arial"/>
        </w:rPr>
        <w:t>mier</w:t>
      </w:r>
      <w:r>
        <w:rPr>
          <w:rFonts w:ascii="Arial" w:hAnsi="Arial" w:cs="Arial"/>
        </w:rPr>
        <w:t>y</w:t>
      </w:r>
      <w:r w:rsidRPr="00B67FED">
        <w:rPr>
          <w:rFonts w:ascii="Arial" w:hAnsi="Arial" w:cs="Arial"/>
        </w:rPr>
        <w:t xml:space="preserve"> zamestnanosti</w:t>
      </w:r>
      <w:r>
        <w:rPr>
          <w:rFonts w:ascii="Arial" w:hAnsi="Arial" w:cs="Arial"/>
        </w:rPr>
        <w:t xml:space="preserve"> o 2,3</w:t>
      </w:r>
      <w:r w:rsidRPr="00B67FED">
        <w:rPr>
          <w:rFonts w:ascii="Arial" w:hAnsi="Arial" w:cs="Arial"/>
        </w:rPr>
        <w:t> </w:t>
      </w:r>
      <w:r>
        <w:rPr>
          <w:rFonts w:ascii="Arial" w:hAnsi="Arial" w:cs="Arial"/>
        </w:rPr>
        <w:t>p. b.</w:t>
      </w:r>
      <w:r w:rsidRPr="00B67FED">
        <w:rPr>
          <w:rFonts w:ascii="Arial" w:hAnsi="Arial" w:cs="Arial"/>
        </w:rPr>
        <w:t xml:space="preserve"> na 7</w:t>
      </w:r>
      <w:r>
        <w:rPr>
          <w:rFonts w:ascii="Arial" w:hAnsi="Arial" w:cs="Arial"/>
        </w:rPr>
        <w:t>5 % a n</w:t>
      </w:r>
      <w:r w:rsidRPr="00B67FED">
        <w:rPr>
          <w:rFonts w:ascii="Arial" w:hAnsi="Arial" w:cs="Arial"/>
        </w:rPr>
        <w:t>ajnižši</w:t>
      </w:r>
      <w:r>
        <w:rPr>
          <w:rFonts w:ascii="Arial" w:hAnsi="Arial" w:cs="Arial"/>
        </w:rPr>
        <w:t xml:space="preserve">e bol Košický kraj s hodnotou </w:t>
      </w:r>
      <w:r w:rsidRPr="00B67FED">
        <w:rPr>
          <w:rFonts w:ascii="Arial" w:hAnsi="Arial" w:cs="Arial"/>
        </w:rPr>
        <w:t>73</w:t>
      </w:r>
      <w:r>
        <w:rPr>
          <w:rFonts w:ascii="Arial" w:hAnsi="Arial" w:cs="Arial"/>
        </w:rPr>
        <w:t>,1 %</w:t>
      </w:r>
      <w:r w:rsidRPr="00B67FED">
        <w:rPr>
          <w:rFonts w:ascii="Arial" w:hAnsi="Arial" w:cs="Arial"/>
        </w:rPr>
        <w:t>.</w:t>
      </w:r>
    </w:p>
    <w:p w14:paraId="5BB4EA6C" w14:textId="259C23D8" w:rsidR="00346E51" w:rsidRPr="00096814" w:rsidRDefault="0011538C" w:rsidP="00BA5C07">
      <w:pPr>
        <w:spacing w:after="100"/>
        <w:ind w:firstLine="284"/>
        <w:rPr>
          <w:rFonts w:ascii="Arial" w:eastAsiaTheme="majorEastAsia" w:hAnsi="Arial" w:cs="Arial"/>
        </w:rPr>
      </w:pPr>
      <w:r w:rsidRPr="00FA51C5">
        <w:rPr>
          <w:rFonts w:ascii="Arial" w:hAnsi="Arial" w:cs="Arial"/>
          <w:b/>
          <w:bCs/>
          <w:shd w:val="clear" w:color="auto" w:fill="FFFFFF"/>
        </w:rPr>
        <w:t>Za prácou do zahraničia</w:t>
      </w:r>
      <w:r w:rsidR="0068595F" w:rsidRPr="0068595F">
        <w:rPr>
          <w:rStyle w:val="Odkaznapoznmkupodiarou"/>
          <w:rFonts w:ascii="Arial" w:hAnsi="Arial" w:cs="Arial"/>
          <w:szCs w:val="16"/>
        </w:rPr>
        <w:footnoteReference w:id="23"/>
      </w:r>
      <w:r w:rsidR="0068595F" w:rsidRPr="0068595F">
        <w:rPr>
          <w:rStyle w:val="Odkaznapoznmkupodiarou"/>
          <w:rFonts w:ascii="Arial" w:hAnsi="Arial" w:cs="Arial"/>
          <w:szCs w:val="16"/>
        </w:rPr>
        <w:t>)</w:t>
      </w:r>
      <w:r w:rsidRPr="0068595F">
        <w:rPr>
          <w:rFonts w:ascii="Arial" w:hAnsi="Arial" w:cs="Arial"/>
          <w:shd w:val="clear" w:color="auto" w:fill="FFFFFF"/>
        </w:rPr>
        <w:t xml:space="preserve"> </w:t>
      </w:r>
      <w:r w:rsidR="00096814" w:rsidRPr="00BF3420">
        <w:rPr>
          <w:rFonts w:ascii="Arial" w:hAnsi="Arial" w:cs="Arial"/>
        </w:rPr>
        <w:t>dochádzalo vo 4. štvrťroku 202</w:t>
      </w:r>
      <w:r w:rsidR="00096814">
        <w:rPr>
          <w:rFonts w:ascii="Arial" w:hAnsi="Arial" w:cs="Arial"/>
        </w:rPr>
        <w:t>5</w:t>
      </w:r>
      <w:r w:rsidR="00096814" w:rsidRPr="00BF3420">
        <w:rPr>
          <w:rFonts w:ascii="Arial" w:hAnsi="Arial" w:cs="Arial"/>
        </w:rPr>
        <w:t xml:space="preserve"> </w:t>
      </w:r>
      <w:r w:rsidR="00096814">
        <w:rPr>
          <w:rFonts w:ascii="Arial" w:hAnsi="Arial" w:cs="Arial"/>
        </w:rPr>
        <w:t>vyše</w:t>
      </w:r>
      <w:r w:rsidR="00096814" w:rsidRPr="00BF3420">
        <w:rPr>
          <w:rFonts w:ascii="Arial" w:hAnsi="Arial" w:cs="Arial"/>
        </w:rPr>
        <w:t xml:space="preserve"> 1</w:t>
      </w:r>
      <w:r w:rsidR="00096814">
        <w:rPr>
          <w:rFonts w:ascii="Arial" w:hAnsi="Arial" w:cs="Arial"/>
        </w:rPr>
        <w:t>23</w:t>
      </w:r>
      <w:r w:rsidR="00096814" w:rsidRPr="00BF3420">
        <w:rPr>
          <w:rFonts w:ascii="Arial" w:hAnsi="Arial" w:cs="Arial"/>
        </w:rPr>
        <w:t>-tisíc o</w:t>
      </w:r>
      <w:r w:rsidR="00096814">
        <w:rPr>
          <w:rFonts w:ascii="Arial" w:hAnsi="Arial" w:cs="Arial"/>
        </w:rPr>
        <w:t xml:space="preserve">sôb a ich počet stúpol </w:t>
      </w:r>
      <w:r w:rsidR="00096814" w:rsidRPr="00BF3420">
        <w:rPr>
          <w:rFonts w:ascii="Arial" w:hAnsi="Arial" w:cs="Arial"/>
        </w:rPr>
        <w:t>o</w:t>
      </w:r>
      <w:r w:rsidR="00096814">
        <w:rPr>
          <w:rFonts w:ascii="Arial" w:hAnsi="Arial" w:cs="Arial"/>
        </w:rPr>
        <w:t> 4,8 %</w:t>
      </w:r>
      <w:r w:rsidR="00096814" w:rsidRPr="00BF3420">
        <w:rPr>
          <w:rFonts w:ascii="Arial" w:hAnsi="Arial" w:cs="Arial"/>
        </w:rPr>
        <w:t xml:space="preserve"> </w:t>
      </w:r>
      <w:r w:rsidR="00096814">
        <w:rPr>
          <w:rFonts w:ascii="Arial" w:hAnsi="Arial" w:cs="Arial"/>
        </w:rPr>
        <w:t>oproti rovnakému obdobiu roka 2024</w:t>
      </w:r>
      <w:r w:rsidR="00096814" w:rsidRPr="00096814">
        <w:rPr>
          <w:rFonts w:ascii="Arial" w:hAnsi="Arial" w:cs="Arial"/>
        </w:rPr>
        <w:t>. Bezmála 60 % pracovalo v stavebníctve a v priemysle. Viac ako štvrtina zo všetkých dochádzala do zahraničia z Prešovského kraja (34-tisíc osôb). Až 18-tisíc osôb dochádzalo za prácou z Banskobystrického kraja, o niečo menej zo Žilinského kraja. Z Nitrianskeho to bolo až 23,4 tisíc osôb a mal aj najvyšší medziročný nárast (84%) pracujúcich v zahraničí (o 11-tisíc osôb). Naopak, v Trenčianskom kraji ich najviac ubudlo, bezmála polovica (5,5-tisíc osôb).</w:t>
      </w:r>
    </w:p>
    <w:p w14:paraId="46920D2C" w14:textId="5E492ADB" w:rsidR="00346E51" w:rsidRPr="00DE105A" w:rsidRDefault="00DE105A" w:rsidP="00346E51">
      <w:pPr>
        <w:spacing w:after="120"/>
        <w:ind w:firstLine="284"/>
        <w:rPr>
          <w:rFonts w:ascii="Arial" w:hAnsi="Arial" w:cs="Arial"/>
        </w:rPr>
      </w:pPr>
      <w:r w:rsidRPr="0064105C">
        <w:rPr>
          <w:rFonts w:ascii="Arial" w:hAnsi="Arial" w:cs="Arial"/>
          <w:bCs/>
        </w:rPr>
        <w:t>Počet pracujúcich</w:t>
      </w:r>
      <w:r w:rsidRPr="00DE105A">
        <w:rPr>
          <w:rFonts w:ascii="Arial" w:hAnsi="Arial" w:cs="Arial"/>
        </w:rPr>
        <w:t xml:space="preserve"> na Slovensku sa </w:t>
      </w:r>
      <w:r w:rsidRPr="0064105C">
        <w:rPr>
          <w:rFonts w:ascii="Arial" w:hAnsi="Arial" w:cs="Arial"/>
          <w:b/>
          <w:bCs/>
        </w:rPr>
        <w:t>v priemere za rok 2025</w:t>
      </w:r>
      <w:r w:rsidRPr="00DE105A">
        <w:rPr>
          <w:rFonts w:ascii="Arial" w:hAnsi="Arial" w:cs="Arial"/>
        </w:rPr>
        <w:t xml:space="preserve"> medziročne znížil viac ako o 10-tisíc osôb (o 0,4 %) a v ekonomike tak podľa metodiky VZPS pracovalo 2 milióny 611-tisíc ľudí. Z 18 sledovaných odvetví zaznamenala medziročný pokles pracujúcich až polovica. Negatívny výsledok najväčšmi ovplyvnil najmä pokles počtu pracujúcich viac ako o  11-tisíc osôb vo </w:t>
      </w:r>
      <w:r w:rsidRPr="00DE105A">
        <w:rPr>
          <w:rFonts w:ascii="Arial" w:hAnsi="Arial" w:cs="Arial"/>
          <w:b/>
        </w:rPr>
        <w:t>výrobnom sektore</w:t>
      </w:r>
      <w:r w:rsidRPr="00DE105A">
        <w:rPr>
          <w:rFonts w:ascii="Arial" w:hAnsi="Arial" w:cs="Arial"/>
        </w:rPr>
        <w:t xml:space="preserve"> (o 1,2 %). V </w:t>
      </w:r>
      <w:r w:rsidRPr="00DE105A">
        <w:rPr>
          <w:rFonts w:ascii="Arial" w:hAnsi="Arial" w:cs="Arial"/>
          <w:b/>
        </w:rPr>
        <w:t xml:space="preserve">službách </w:t>
      </w:r>
      <w:r w:rsidRPr="00DE105A">
        <w:rPr>
          <w:rFonts w:ascii="Arial" w:hAnsi="Arial" w:cs="Arial"/>
        </w:rPr>
        <w:t>stúpla zamestnanosť</w:t>
      </w:r>
      <w:r w:rsidRPr="00DE105A">
        <w:rPr>
          <w:rFonts w:ascii="Arial" w:hAnsi="Arial" w:cs="Arial"/>
          <w:b/>
        </w:rPr>
        <w:t xml:space="preserve"> </w:t>
      </w:r>
      <w:r w:rsidRPr="00DE105A">
        <w:rPr>
          <w:rFonts w:ascii="Arial" w:hAnsi="Arial" w:cs="Arial"/>
        </w:rPr>
        <w:t>len nepatrne (o 0,1 %) na 1,65 milióna osôb.</w:t>
      </w:r>
    </w:p>
    <w:p w14:paraId="51A225CD" w14:textId="183F3220" w:rsidR="00DE105A" w:rsidRDefault="00DE105A" w:rsidP="00DE105A">
      <w:pPr>
        <w:spacing w:after="120"/>
        <w:ind w:firstLine="284"/>
        <w:rPr>
          <w:rFonts w:ascii="Arial" w:hAnsi="Arial" w:cs="Arial"/>
        </w:rPr>
      </w:pPr>
      <w:r>
        <w:rPr>
          <w:rFonts w:ascii="Arial" w:hAnsi="Arial" w:cs="Arial"/>
        </w:rPr>
        <w:t xml:space="preserve">Najdynamickejšie pozitívne zmeny pocítil </w:t>
      </w:r>
      <w:r w:rsidRPr="00083F75">
        <w:rPr>
          <w:rFonts w:ascii="Arial" w:hAnsi="Arial" w:cs="Arial"/>
          <w:b/>
        </w:rPr>
        <w:t>terciárny sektor</w:t>
      </w:r>
      <w:r>
        <w:rPr>
          <w:rFonts w:ascii="Arial" w:hAnsi="Arial" w:cs="Arial"/>
        </w:rPr>
        <w:t xml:space="preserve"> v odvetví administratívne služby s prírastkom 6,1 tisíca pracujúcich (13,5 %), v doprave a skladovaní pribudlo 5</w:t>
      </w:r>
      <w:r w:rsidR="0064105C">
        <w:rPr>
          <w:rFonts w:ascii="Arial" w:hAnsi="Arial" w:cs="Arial"/>
        </w:rPr>
        <w:t>-</w:t>
      </w:r>
      <w:r>
        <w:rPr>
          <w:rFonts w:ascii="Arial" w:hAnsi="Arial" w:cs="Arial"/>
        </w:rPr>
        <w:t xml:space="preserve">tisíc pracujúcich (3 %). Naopak, celoročne najvýraznejší odliv zaznamenali dve dôležité odvetvia z pohľadu budúcej prosperity ekonomiky. Vo vzdelávaní ubudlo najviac až 6,2 tisíc pracujúcich (2,9 %) a informačno-komunikačné služby stratili vyše  5- tisíc zamestnaných (4,6 %) ľudí. </w:t>
      </w:r>
    </w:p>
    <w:p w14:paraId="5491125F" w14:textId="77777777" w:rsidR="00DE105A" w:rsidRPr="000A5221" w:rsidRDefault="00DE105A" w:rsidP="00DE105A">
      <w:pPr>
        <w:spacing w:after="120"/>
        <w:ind w:firstLine="284"/>
        <w:rPr>
          <w:rFonts w:ascii="Arial" w:hAnsi="Arial" w:cs="Arial"/>
        </w:rPr>
      </w:pPr>
      <w:r>
        <w:rPr>
          <w:rFonts w:ascii="Arial" w:hAnsi="Arial" w:cs="Arial"/>
        </w:rPr>
        <w:t xml:space="preserve">Z </w:t>
      </w:r>
      <w:r w:rsidRPr="000A5221">
        <w:rPr>
          <w:rFonts w:ascii="Arial" w:hAnsi="Arial" w:cs="Arial"/>
        </w:rPr>
        <w:t>veľkých odvetv</w:t>
      </w:r>
      <w:r>
        <w:rPr>
          <w:rFonts w:ascii="Arial" w:hAnsi="Arial" w:cs="Arial"/>
        </w:rPr>
        <w:t>í</w:t>
      </w:r>
      <w:r w:rsidRPr="000A5221">
        <w:rPr>
          <w:rFonts w:ascii="Arial" w:hAnsi="Arial" w:cs="Arial"/>
        </w:rPr>
        <w:t xml:space="preserve"> služieb zamestnávajúcic</w:t>
      </w:r>
      <w:r>
        <w:rPr>
          <w:rFonts w:ascii="Arial" w:hAnsi="Arial" w:cs="Arial"/>
        </w:rPr>
        <w:t xml:space="preserve">h nad 150-tisíc ľudí s medziročným poklesom </w:t>
      </w:r>
      <w:r w:rsidRPr="000A5221">
        <w:rPr>
          <w:rFonts w:ascii="Arial" w:hAnsi="Arial" w:cs="Arial"/>
        </w:rPr>
        <w:t xml:space="preserve">pracujúcich </w:t>
      </w:r>
      <w:r>
        <w:rPr>
          <w:rFonts w:ascii="Arial" w:hAnsi="Arial" w:cs="Arial"/>
        </w:rPr>
        <w:t>zápasilo ešte aj zdravotníctvo a sociálna pomoc. Vo verejnej správe</w:t>
      </w:r>
      <w:r w:rsidRPr="00FC43B8">
        <w:rPr>
          <w:rFonts w:ascii="Arial" w:hAnsi="Arial" w:cs="Arial"/>
        </w:rPr>
        <w:t xml:space="preserve"> a sociáln</w:t>
      </w:r>
      <w:r>
        <w:rPr>
          <w:rFonts w:ascii="Arial" w:hAnsi="Arial" w:cs="Arial"/>
        </w:rPr>
        <w:t>om zabezpečení pracovalo  215-tisíc ľudí po malom zvýšení (o 0,4 %).</w:t>
      </w:r>
    </w:p>
    <w:p w14:paraId="5C7AABBD" w14:textId="77777777" w:rsidR="00DE105A" w:rsidRPr="009B3F5F" w:rsidRDefault="00DE105A" w:rsidP="00DE105A">
      <w:pPr>
        <w:spacing w:after="120"/>
        <w:ind w:firstLine="284"/>
        <w:rPr>
          <w:rFonts w:ascii="Arial" w:hAnsi="Arial" w:cs="Arial"/>
        </w:rPr>
      </w:pPr>
      <w:r w:rsidRPr="00083F75">
        <w:rPr>
          <w:rFonts w:ascii="Arial" w:hAnsi="Arial" w:cs="Arial"/>
          <w:b/>
        </w:rPr>
        <w:t>Vo výrobnej sfére</w:t>
      </w:r>
      <w:r>
        <w:rPr>
          <w:rFonts w:ascii="Arial" w:hAnsi="Arial" w:cs="Arial"/>
        </w:rPr>
        <w:t xml:space="preserve"> sa </w:t>
      </w:r>
      <w:r w:rsidRPr="009B3F5F">
        <w:rPr>
          <w:rFonts w:ascii="Arial" w:hAnsi="Arial" w:cs="Arial"/>
        </w:rPr>
        <w:t>počet</w:t>
      </w:r>
      <w:r>
        <w:rPr>
          <w:rFonts w:ascii="Arial" w:hAnsi="Arial" w:cs="Arial"/>
        </w:rPr>
        <w:t xml:space="preserve"> </w:t>
      </w:r>
      <w:r w:rsidRPr="009B3F5F">
        <w:rPr>
          <w:rFonts w:ascii="Arial" w:hAnsi="Arial" w:cs="Arial"/>
        </w:rPr>
        <w:t xml:space="preserve">pracujúcich </w:t>
      </w:r>
      <w:r>
        <w:rPr>
          <w:rFonts w:ascii="Arial" w:hAnsi="Arial" w:cs="Arial"/>
        </w:rPr>
        <w:t xml:space="preserve">v roku 2025 </w:t>
      </w:r>
      <w:r w:rsidRPr="009B3F5F">
        <w:rPr>
          <w:rFonts w:ascii="Arial" w:hAnsi="Arial" w:cs="Arial"/>
        </w:rPr>
        <w:t xml:space="preserve">mierne </w:t>
      </w:r>
      <w:r>
        <w:rPr>
          <w:rFonts w:ascii="Arial" w:hAnsi="Arial" w:cs="Arial"/>
        </w:rPr>
        <w:t>z</w:t>
      </w:r>
      <w:r w:rsidRPr="009B3F5F">
        <w:rPr>
          <w:rFonts w:ascii="Arial" w:hAnsi="Arial" w:cs="Arial"/>
        </w:rPr>
        <w:t xml:space="preserve">výšil </w:t>
      </w:r>
      <w:r>
        <w:rPr>
          <w:rFonts w:ascii="Arial" w:hAnsi="Arial" w:cs="Arial"/>
        </w:rPr>
        <w:t xml:space="preserve">iba </w:t>
      </w:r>
      <w:r w:rsidRPr="009B3F5F">
        <w:rPr>
          <w:rFonts w:ascii="Arial" w:hAnsi="Arial" w:cs="Arial"/>
        </w:rPr>
        <w:t>v</w:t>
      </w:r>
      <w:r>
        <w:rPr>
          <w:rFonts w:ascii="Arial" w:hAnsi="Arial" w:cs="Arial"/>
        </w:rPr>
        <w:t> poľnohospodárstve o vyše 5</w:t>
      </w:r>
      <w:r w:rsidRPr="009B3F5F">
        <w:rPr>
          <w:rFonts w:ascii="Arial" w:hAnsi="Arial" w:cs="Arial"/>
        </w:rPr>
        <w:t>-tisíc osôb</w:t>
      </w:r>
      <w:r>
        <w:rPr>
          <w:rFonts w:ascii="Arial" w:hAnsi="Arial" w:cs="Arial"/>
        </w:rPr>
        <w:t xml:space="preserve">. Výrazný pokles o 5,5-tisíc osôb pocítil priemysel, dlhodobo najväčšie zamestnávateľské odvetvie na Slovensku so štvrtinovým podielom na celkovej zamestnanosti. K výslednému zníženiu zamestnanosti vo výrobnom sektore však prispelo najmä stavebníctvo s najhlbším úbytkom 11 tisíc pracujúcich (4,1 %).  </w:t>
      </w:r>
    </w:p>
    <w:p w14:paraId="691B5AB5" w14:textId="77777777" w:rsidR="00DE105A" w:rsidRDefault="00DE105A" w:rsidP="00DE105A">
      <w:pPr>
        <w:spacing w:after="120"/>
        <w:ind w:firstLine="284"/>
        <w:rPr>
          <w:rFonts w:ascii="Arial" w:hAnsi="Arial" w:cs="Arial"/>
        </w:rPr>
      </w:pPr>
      <w:r w:rsidRPr="00AF3E71">
        <w:rPr>
          <w:rFonts w:ascii="Arial" w:hAnsi="Arial" w:cs="Arial"/>
        </w:rPr>
        <w:t>Z </w:t>
      </w:r>
      <w:r w:rsidRPr="0064105C">
        <w:rPr>
          <w:rFonts w:ascii="Arial" w:hAnsi="Arial" w:cs="Arial"/>
          <w:bCs/>
        </w:rPr>
        <w:t>regionálneho hľadiska v</w:t>
      </w:r>
      <w:r>
        <w:rPr>
          <w:rFonts w:ascii="Arial" w:hAnsi="Arial" w:cs="Arial"/>
        </w:rPr>
        <w:t xml:space="preserve"> uplynulom roku stúpli počty pracujúcich len v 2 zo všetkých 8 </w:t>
      </w:r>
      <w:r>
        <w:rPr>
          <w:rFonts w:ascii="Arial" w:hAnsi="Arial" w:cs="Arial"/>
        </w:rPr>
        <w:lastRenderedPageBreak/>
        <w:t>krajov Slovenska. Trnavský kraj zaznamenal nárast takmer o 5-tisíc osôb (1,7%) a Žilinský o 2,3-tisíc osôb (0,7 %). Naopak, n</w:t>
      </w:r>
      <w:r w:rsidRPr="00AF3E71">
        <w:rPr>
          <w:rFonts w:ascii="Arial" w:hAnsi="Arial" w:cs="Arial"/>
        </w:rPr>
        <w:t xml:space="preserve">ajvýraznejší </w:t>
      </w:r>
      <w:r>
        <w:rPr>
          <w:rFonts w:ascii="Arial" w:hAnsi="Arial" w:cs="Arial"/>
        </w:rPr>
        <w:t xml:space="preserve">pokles poznamenal Nitriansky kraj, v ktorom ubudlo skoro 8-tisíc pracujúcich (2,4 %) a v Bratislavskom kraji z pracovného trhu odišlo 3,2-tisíc osôb (0,8 %). </w:t>
      </w:r>
    </w:p>
    <w:p w14:paraId="5973C4EB" w14:textId="77777777" w:rsidR="00DE105A" w:rsidRDefault="00DE105A" w:rsidP="0064105C">
      <w:pPr>
        <w:spacing w:after="120"/>
        <w:ind w:firstLine="284"/>
        <w:rPr>
          <w:rFonts w:ascii="Arial" w:hAnsi="Arial" w:cs="Arial"/>
        </w:rPr>
      </w:pPr>
      <w:r w:rsidRPr="000A5221">
        <w:rPr>
          <w:rFonts w:ascii="Arial" w:hAnsi="Arial" w:cs="Arial"/>
          <w:b/>
        </w:rPr>
        <w:t>Miera zamestnanosti</w:t>
      </w:r>
      <w:r>
        <w:rPr>
          <w:rFonts w:ascii="Arial" w:hAnsi="Arial" w:cs="Arial"/>
        </w:rPr>
        <w:t xml:space="preserve"> SR </w:t>
      </w:r>
      <w:r w:rsidRPr="00FC7A24">
        <w:rPr>
          <w:rFonts w:ascii="Arial" w:hAnsi="Arial" w:cs="Arial"/>
        </w:rPr>
        <w:t>za celý rok 202</w:t>
      </w:r>
      <w:r>
        <w:rPr>
          <w:rFonts w:ascii="Arial" w:hAnsi="Arial" w:cs="Arial"/>
        </w:rPr>
        <w:t>5 zostala na hodnote 78,1 % taká, ako aj v roku 2024. N</w:t>
      </w:r>
      <w:r w:rsidRPr="00FC7A24">
        <w:rPr>
          <w:rFonts w:ascii="Arial" w:hAnsi="Arial" w:cs="Arial"/>
        </w:rPr>
        <w:t>ajdynamickejšie sa zmenila v </w:t>
      </w:r>
      <w:r>
        <w:rPr>
          <w:rFonts w:ascii="Arial" w:hAnsi="Arial" w:cs="Arial"/>
        </w:rPr>
        <w:t>Trnavskom</w:t>
      </w:r>
      <w:r w:rsidRPr="00FC7A24">
        <w:rPr>
          <w:rFonts w:ascii="Arial" w:hAnsi="Arial" w:cs="Arial"/>
        </w:rPr>
        <w:t xml:space="preserve"> kraj</w:t>
      </w:r>
      <w:r>
        <w:rPr>
          <w:rFonts w:ascii="Arial" w:hAnsi="Arial" w:cs="Arial"/>
        </w:rPr>
        <w:t>i, kde stúpla na 80,8 % (</w:t>
      </w:r>
      <w:r w:rsidRPr="00FC7A24">
        <w:rPr>
          <w:rFonts w:ascii="Arial" w:hAnsi="Arial" w:cs="Arial"/>
        </w:rPr>
        <w:t>o 1,</w:t>
      </w:r>
      <w:r>
        <w:rPr>
          <w:rFonts w:ascii="Arial" w:hAnsi="Arial" w:cs="Arial"/>
        </w:rPr>
        <w:t>2</w:t>
      </w:r>
      <w:r w:rsidRPr="00FC7A24">
        <w:rPr>
          <w:rFonts w:ascii="Arial" w:hAnsi="Arial" w:cs="Arial"/>
        </w:rPr>
        <w:t xml:space="preserve"> p.</w:t>
      </w:r>
      <w:r>
        <w:rPr>
          <w:rFonts w:ascii="Arial" w:hAnsi="Arial" w:cs="Arial"/>
        </w:rPr>
        <w:t xml:space="preserve"> </w:t>
      </w:r>
      <w:r w:rsidRPr="00FC7A24">
        <w:rPr>
          <w:rFonts w:ascii="Arial" w:hAnsi="Arial" w:cs="Arial"/>
        </w:rPr>
        <w:t>b</w:t>
      </w:r>
      <w:r>
        <w:rPr>
          <w:rFonts w:ascii="Arial" w:hAnsi="Arial" w:cs="Arial"/>
        </w:rPr>
        <w:t>.)</w:t>
      </w:r>
    </w:p>
    <w:p w14:paraId="41043FEA" w14:textId="4355D354" w:rsidR="00BA5A95" w:rsidRPr="00B1763F" w:rsidRDefault="00DE105A" w:rsidP="0064105C">
      <w:pPr>
        <w:spacing w:after="120"/>
        <w:ind w:firstLine="284"/>
        <w:rPr>
          <w:rFonts w:ascii="Arial" w:hAnsi="Arial" w:cs="Arial"/>
          <w:shd w:val="clear" w:color="auto" w:fill="FFFFFF"/>
        </w:rPr>
      </w:pPr>
      <w:r>
        <w:rPr>
          <w:rFonts w:ascii="Arial" w:hAnsi="Arial" w:cs="Arial"/>
          <w:b/>
        </w:rPr>
        <w:t>Po</w:t>
      </w:r>
      <w:r w:rsidRPr="00636188">
        <w:rPr>
          <w:rFonts w:ascii="Arial" w:hAnsi="Arial" w:cs="Arial"/>
          <w:b/>
        </w:rPr>
        <w:t>čet pracujúcich v</w:t>
      </w:r>
      <w:r>
        <w:rPr>
          <w:rFonts w:ascii="Arial" w:hAnsi="Arial" w:cs="Arial"/>
          <w:b/>
        </w:rPr>
        <w:t> </w:t>
      </w:r>
      <w:r w:rsidRPr="00636188">
        <w:rPr>
          <w:rFonts w:ascii="Arial" w:hAnsi="Arial" w:cs="Arial"/>
          <w:b/>
        </w:rPr>
        <w:t>zahraničí</w:t>
      </w:r>
      <w:r w:rsidRPr="009876E6">
        <w:rPr>
          <w:rFonts w:ascii="Arial" w:hAnsi="Arial" w:cs="Arial"/>
          <w:b/>
        </w:rPr>
        <w:t xml:space="preserve"> </w:t>
      </w:r>
      <w:r w:rsidRPr="00636188">
        <w:rPr>
          <w:rFonts w:ascii="Arial" w:hAnsi="Arial" w:cs="Arial"/>
        </w:rPr>
        <w:t xml:space="preserve">stúpol </w:t>
      </w:r>
      <w:r w:rsidRPr="00083F75">
        <w:rPr>
          <w:rFonts w:ascii="Arial" w:hAnsi="Arial" w:cs="Arial"/>
        </w:rPr>
        <w:t>v</w:t>
      </w:r>
      <w:r>
        <w:rPr>
          <w:rFonts w:ascii="Arial" w:hAnsi="Arial" w:cs="Arial"/>
        </w:rPr>
        <w:t> roku 2025</w:t>
      </w:r>
      <w:r w:rsidRPr="00636188">
        <w:rPr>
          <w:rFonts w:ascii="Arial" w:hAnsi="Arial" w:cs="Arial"/>
        </w:rPr>
        <w:t xml:space="preserve"> </w:t>
      </w:r>
      <w:r>
        <w:rPr>
          <w:rFonts w:ascii="Arial" w:hAnsi="Arial" w:cs="Arial"/>
        </w:rPr>
        <w:t>na vyše 121</w:t>
      </w:r>
      <w:r w:rsidRPr="009876E6">
        <w:rPr>
          <w:rFonts w:ascii="Arial" w:hAnsi="Arial" w:cs="Arial"/>
        </w:rPr>
        <w:t>-tisíc osôb</w:t>
      </w:r>
      <w:r>
        <w:rPr>
          <w:rFonts w:ascii="Arial" w:hAnsi="Arial" w:cs="Arial"/>
        </w:rPr>
        <w:t xml:space="preserve"> a</w:t>
      </w:r>
      <w:r w:rsidRPr="00636188" w:rsidDel="002C6D87">
        <w:rPr>
          <w:rFonts w:ascii="Arial" w:hAnsi="Arial" w:cs="Arial"/>
        </w:rPr>
        <w:t xml:space="preserve"> </w:t>
      </w:r>
      <w:r w:rsidRPr="009876E6">
        <w:rPr>
          <w:rFonts w:ascii="Arial" w:hAnsi="Arial" w:cs="Arial"/>
        </w:rPr>
        <w:t>za prácou do zahraničia</w:t>
      </w:r>
      <w:r>
        <w:rPr>
          <w:rFonts w:ascii="Arial" w:hAnsi="Arial" w:cs="Arial"/>
        </w:rPr>
        <w:t xml:space="preserve"> tak dochádzalo zo Slovenska o 3,5 % ľudí viac ako v roku 2024</w:t>
      </w:r>
      <w:r w:rsidRPr="009876E6">
        <w:rPr>
          <w:rFonts w:ascii="Arial" w:hAnsi="Arial" w:cs="Arial"/>
        </w:rPr>
        <w:t>.</w:t>
      </w:r>
      <w:r w:rsidR="00BA5A95" w:rsidRPr="00B1763F">
        <w:rPr>
          <w:rFonts w:ascii="Arial" w:hAnsi="Arial" w:cs="Arial"/>
        </w:rPr>
        <w:t xml:space="preserve"> </w:t>
      </w:r>
    </w:p>
    <w:p w14:paraId="1B1DF7CA" w14:textId="12B6206C" w:rsidR="003363D9" w:rsidRDefault="0064105C" w:rsidP="00BC1CE7">
      <w:pPr>
        <w:spacing w:after="100"/>
        <w:ind w:firstLine="284"/>
        <w:rPr>
          <w:rFonts w:ascii="Arial" w:hAnsi="Arial" w:cs="Arial"/>
          <w:shd w:val="clear" w:color="auto" w:fill="FFFFFF"/>
        </w:rPr>
      </w:pPr>
      <w:r w:rsidRPr="00DE28F8">
        <w:rPr>
          <w:rFonts w:ascii="Arial" w:hAnsi="Arial" w:cs="Arial"/>
        </w:rPr>
        <w:t xml:space="preserve">Na Slovensku bolo </w:t>
      </w:r>
      <w:r w:rsidRPr="0064105C">
        <w:rPr>
          <w:rFonts w:ascii="Arial" w:hAnsi="Arial" w:cs="Arial"/>
          <w:bCs/>
        </w:rPr>
        <w:t>vo 4. štvrťroku 2025</w:t>
      </w:r>
      <w:r w:rsidRPr="00DE28F8">
        <w:rPr>
          <w:rFonts w:ascii="Arial" w:hAnsi="Arial" w:cs="Arial"/>
          <w:b/>
        </w:rPr>
        <w:t xml:space="preserve"> nezamestnaných</w:t>
      </w:r>
      <w:r w:rsidRPr="00B72A54">
        <w:rPr>
          <w:rStyle w:val="Odkaznapoznmkupodiarou"/>
          <w:rFonts w:ascii="Arial" w:hAnsi="Arial" w:cs="Arial"/>
          <w:szCs w:val="16"/>
        </w:rPr>
        <w:t xml:space="preserve"> </w:t>
      </w:r>
      <w:r w:rsidR="00F9255D" w:rsidRPr="00B72A54">
        <w:rPr>
          <w:rStyle w:val="Odkaznapoznmkupodiarou"/>
          <w:rFonts w:ascii="Arial" w:hAnsi="Arial" w:cs="Arial"/>
          <w:szCs w:val="16"/>
        </w:rPr>
        <w:footnoteReference w:id="24"/>
      </w:r>
      <w:r w:rsidR="00F9255D" w:rsidRPr="00B72A54">
        <w:rPr>
          <w:rStyle w:val="Odkaznapoznmkupodiarou"/>
          <w:rFonts w:ascii="Arial" w:hAnsi="Arial" w:cs="Arial"/>
          <w:szCs w:val="16"/>
        </w:rPr>
        <w:t>)</w:t>
      </w:r>
      <w:r w:rsidR="00F9255D" w:rsidRPr="00B72A54">
        <w:rPr>
          <w:rFonts w:ascii="Arial" w:hAnsi="Arial" w:cs="Arial"/>
          <w:szCs w:val="22"/>
        </w:rPr>
        <w:t xml:space="preserve"> </w:t>
      </w:r>
      <w:r w:rsidRPr="0064105C">
        <w:rPr>
          <w:rFonts w:ascii="Arial" w:hAnsi="Arial" w:cs="Arial"/>
          <w:bCs/>
        </w:rPr>
        <w:t>154,8 tisíc osôb,</w:t>
      </w:r>
      <w:r>
        <w:rPr>
          <w:rFonts w:ascii="Arial" w:hAnsi="Arial" w:cs="Arial"/>
          <w:b/>
        </w:rPr>
        <w:t xml:space="preserve"> </w:t>
      </w:r>
      <w:r w:rsidRPr="0087715F">
        <w:rPr>
          <w:rFonts w:ascii="Arial" w:hAnsi="Arial" w:cs="Arial"/>
        </w:rPr>
        <w:t>medziročne</w:t>
      </w:r>
      <w:r>
        <w:rPr>
          <w:rFonts w:ascii="Arial" w:hAnsi="Arial" w:cs="Arial"/>
        </w:rPr>
        <w:t xml:space="preserve"> </w:t>
      </w:r>
      <w:r w:rsidRPr="0087715F">
        <w:rPr>
          <w:rFonts w:ascii="Arial" w:hAnsi="Arial" w:cs="Arial"/>
        </w:rPr>
        <w:t>poče</w:t>
      </w:r>
      <w:r>
        <w:rPr>
          <w:rFonts w:ascii="Arial" w:hAnsi="Arial" w:cs="Arial"/>
        </w:rPr>
        <w:t xml:space="preserve">t stúpol o </w:t>
      </w:r>
      <w:r w:rsidRPr="0087715F">
        <w:rPr>
          <w:rFonts w:ascii="Arial" w:hAnsi="Arial" w:cs="Arial"/>
        </w:rPr>
        <w:t>9,5 tisíca osôb</w:t>
      </w:r>
      <w:r>
        <w:rPr>
          <w:rFonts w:ascii="Arial" w:hAnsi="Arial" w:cs="Arial"/>
        </w:rPr>
        <w:t xml:space="preserve"> alebo o 6,5 %. Nárast počtu ľudí bez práce bol najvyšší od začiatku </w:t>
      </w:r>
      <w:r w:rsidRPr="00DE28F8">
        <w:rPr>
          <w:rFonts w:ascii="Arial" w:hAnsi="Arial" w:cs="Arial"/>
        </w:rPr>
        <w:t>roku 2021</w:t>
      </w:r>
      <w:r>
        <w:rPr>
          <w:rFonts w:ascii="Arial" w:hAnsi="Arial" w:cs="Arial"/>
        </w:rPr>
        <w:t xml:space="preserve"> (od uplatňovania</w:t>
      </w:r>
      <w:r w:rsidRPr="00DE28F8">
        <w:rPr>
          <w:rFonts w:ascii="Arial" w:hAnsi="Arial" w:cs="Arial"/>
        </w:rPr>
        <w:t xml:space="preserve"> novej metodiky</w:t>
      </w:r>
      <w:r>
        <w:rPr>
          <w:rFonts w:ascii="Arial" w:hAnsi="Arial" w:cs="Arial"/>
        </w:rPr>
        <w:t>).</w:t>
      </w:r>
      <w:r w:rsidRPr="00DE28F8">
        <w:rPr>
          <w:rFonts w:ascii="Arial" w:hAnsi="Arial" w:cs="Arial"/>
        </w:rPr>
        <w:t xml:space="preserve"> </w:t>
      </w:r>
      <w:r>
        <w:rPr>
          <w:rFonts w:ascii="Arial" w:hAnsi="Arial" w:cs="Arial"/>
        </w:rPr>
        <w:t xml:space="preserve">Najnovšie dáta podľa metodiky VZPS tiež ukázali, že </w:t>
      </w:r>
      <w:r w:rsidRPr="00DE28F8">
        <w:rPr>
          <w:rFonts w:ascii="Arial" w:hAnsi="Arial" w:cs="Arial"/>
        </w:rPr>
        <w:t>bez prác</w:t>
      </w:r>
      <w:r>
        <w:rPr>
          <w:rFonts w:ascii="Arial" w:hAnsi="Arial" w:cs="Arial"/>
        </w:rPr>
        <w:t>e</w:t>
      </w:r>
      <w:r w:rsidRPr="00DE28F8">
        <w:rPr>
          <w:rFonts w:ascii="Arial" w:hAnsi="Arial" w:cs="Arial"/>
        </w:rPr>
        <w:t xml:space="preserve"> </w:t>
      </w:r>
      <w:r>
        <w:rPr>
          <w:rFonts w:ascii="Arial" w:hAnsi="Arial" w:cs="Arial"/>
        </w:rPr>
        <w:t>bolo najviac ľudí od 4.</w:t>
      </w:r>
      <w:r w:rsidRPr="00DE28F8">
        <w:rPr>
          <w:rFonts w:ascii="Arial" w:hAnsi="Arial" w:cs="Arial"/>
        </w:rPr>
        <w:t xml:space="preserve"> štvrťroku 202</w:t>
      </w:r>
      <w:r>
        <w:rPr>
          <w:rFonts w:ascii="Arial" w:hAnsi="Arial" w:cs="Arial"/>
        </w:rPr>
        <w:t xml:space="preserve">3, teda za 8 posledných štvrťrokov. </w:t>
      </w:r>
      <w:r w:rsidRPr="005A13FA">
        <w:rPr>
          <w:rFonts w:ascii="Arial" w:hAnsi="Arial" w:cs="Arial"/>
        </w:rPr>
        <w:t>Po sezónnom očistení počet nezamestnaných stúpol o 2,2 % na 153,8-tisíc osôb oproti 3. štvrťroku 2025.</w:t>
      </w:r>
    </w:p>
    <w:p w14:paraId="2B6DA71F" w14:textId="4F2296E3" w:rsidR="006817DB" w:rsidRDefault="0064105C" w:rsidP="006817DB">
      <w:pPr>
        <w:spacing w:after="100"/>
        <w:ind w:firstLine="357"/>
        <w:rPr>
          <w:rFonts w:ascii="Arial" w:hAnsi="Arial" w:cs="Arial"/>
          <w:shd w:val="clear" w:color="auto" w:fill="FFFFFF"/>
        </w:rPr>
      </w:pPr>
      <w:r w:rsidRPr="00DA5EDB">
        <w:rPr>
          <w:rFonts w:ascii="Arial" w:hAnsi="Arial" w:cs="Arial"/>
        </w:rPr>
        <w:t>Referenčná</w:t>
      </w:r>
      <w:r w:rsidRPr="00953832">
        <w:rPr>
          <w:rFonts w:ascii="Arial" w:hAnsi="Arial" w:cs="Arial"/>
          <w:b/>
        </w:rPr>
        <w:t xml:space="preserve"> miera nezamestnanosti</w:t>
      </w:r>
      <w:r w:rsidRPr="00953832">
        <w:rPr>
          <w:rFonts w:ascii="Arial" w:hAnsi="Arial" w:cs="Arial"/>
        </w:rPr>
        <w:t xml:space="preserve"> </w:t>
      </w:r>
      <w:r w:rsidRPr="0064105C">
        <w:rPr>
          <w:rFonts w:ascii="Arial" w:hAnsi="Arial" w:cs="Arial"/>
          <w:bCs/>
        </w:rPr>
        <w:t>stúpla na 5,6 %</w:t>
      </w:r>
      <w:r w:rsidRPr="00953832">
        <w:rPr>
          <w:rFonts w:ascii="Arial" w:hAnsi="Arial" w:cs="Arial"/>
          <w:b/>
        </w:rPr>
        <w:t xml:space="preserve"> </w:t>
      </w:r>
      <w:r w:rsidRPr="00953832">
        <w:rPr>
          <w:rFonts w:ascii="Arial" w:hAnsi="Arial" w:cs="Arial"/>
        </w:rPr>
        <w:t xml:space="preserve">a v poslednom štvrťroku 2024 bola na úrovni 5,2 %. Miera nezamestnanosti vyjadruje podiel počtu nezamestnaných z ekonomicky aktívneho obyvateľstva. Aktuálna hodnota miery nezamestnanosti bola najvyššia za uplynulých </w:t>
      </w:r>
      <w:r>
        <w:rPr>
          <w:rFonts w:ascii="Arial" w:hAnsi="Arial" w:cs="Arial"/>
        </w:rPr>
        <w:t>9</w:t>
      </w:r>
      <w:r w:rsidRPr="00953832">
        <w:rPr>
          <w:rFonts w:ascii="Arial" w:hAnsi="Arial" w:cs="Arial"/>
        </w:rPr>
        <w:t xml:space="preserve"> štvrťrokov (od tretieho štvrťroku 2023), pričom rovnakú výšku mala aj vo 4. štvrťroku 2023 a v nasledujúcom štvrťroku.</w:t>
      </w:r>
    </w:p>
    <w:p w14:paraId="1E8C8277" w14:textId="59272868" w:rsidR="003E7946" w:rsidRPr="00D05CD5" w:rsidRDefault="00676B7D" w:rsidP="003E7946">
      <w:pPr>
        <w:spacing w:after="100"/>
        <w:ind w:firstLine="284"/>
        <w:rPr>
          <w:rFonts w:ascii="Arial" w:hAnsi="Arial" w:cs="Arial"/>
          <w:shd w:val="clear" w:color="auto" w:fill="FFFFFF"/>
        </w:rPr>
      </w:pPr>
      <w:r>
        <w:rPr>
          <w:noProof/>
        </w:rPr>
        <w:drawing>
          <wp:inline distT="0" distB="0" distL="0" distR="0" wp14:anchorId="4E460C26" wp14:editId="704CFCFF">
            <wp:extent cx="5553075" cy="2922269"/>
            <wp:effectExtent l="0" t="0" r="0" b="0"/>
            <wp:docPr id="662460863" name="Graf 1">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44D48E6" w14:textId="1A9B2AA9" w:rsidR="00A07607" w:rsidRDefault="006817DB" w:rsidP="005B1304">
      <w:pPr>
        <w:spacing w:after="100"/>
        <w:ind w:firstLine="357"/>
        <w:rPr>
          <w:rFonts w:ascii="Arial" w:hAnsi="Arial" w:cs="Arial"/>
        </w:rPr>
      </w:pPr>
      <w:r>
        <w:rPr>
          <w:rFonts w:ascii="Arial" w:hAnsi="Arial" w:cs="Arial"/>
        </w:rPr>
        <w:t xml:space="preserve"> </w:t>
      </w:r>
      <w:r w:rsidR="00D677D7" w:rsidRPr="00D677D7">
        <w:rPr>
          <w:rFonts w:ascii="Arial" w:hAnsi="Arial" w:cs="Arial"/>
        </w:rPr>
        <w:t>V štruktúre prevládali dlhodobo nezamestnaní, ktorí boli bez práce 12 a viac mesiacov, ich podiel bol 65 %. Na štvrťročnej úrovni po prvý krát od začiatku roku 2021 medziročne výraznejšie počet dlhodobo nezamestnaných stúpol (o 7-tisíc osôb).</w:t>
      </w:r>
      <w:r w:rsidR="00A07607">
        <w:rPr>
          <w:rFonts w:ascii="Arial" w:hAnsi="Arial" w:cs="Arial"/>
        </w:rPr>
        <w:t xml:space="preserve"> </w:t>
      </w:r>
    </w:p>
    <w:p w14:paraId="62E5C179" w14:textId="77777777" w:rsidR="00D677D7" w:rsidRPr="00D677D7" w:rsidRDefault="00D677D7" w:rsidP="00D677D7">
      <w:pPr>
        <w:spacing w:after="120"/>
        <w:ind w:firstLine="284"/>
        <w:rPr>
          <w:rFonts w:ascii="Arial" w:hAnsi="Arial" w:cs="Arial"/>
        </w:rPr>
      </w:pPr>
      <w:r w:rsidRPr="00D677D7">
        <w:rPr>
          <w:rFonts w:ascii="Arial" w:hAnsi="Arial" w:cs="Arial"/>
        </w:rPr>
        <w:t>Z hľadiska odvetvovej štruktúry medzi nezamestnanými medziročne pribudlo najviac takých, ktorí naposledy pracovali v stavebníctve (3,2-tisíc osôb) ako aj v doprave a skladovaní (3,1-tisíc osôb) a tiež v obchode (2,6-tisíc osôb). Najväčší úbytok zaznamenali IKT služby (2-tisíc osôb).</w:t>
      </w:r>
    </w:p>
    <w:p w14:paraId="233C1D4B" w14:textId="77777777" w:rsidR="00D677D7" w:rsidRPr="00D677D7" w:rsidRDefault="00D677D7" w:rsidP="00D677D7">
      <w:pPr>
        <w:spacing w:after="120"/>
        <w:ind w:firstLine="284"/>
        <w:rPr>
          <w:rFonts w:ascii="Arial" w:hAnsi="Arial" w:cs="Arial"/>
        </w:rPr>
      </w:pPr>
      <w:r w:rsidRPr="00D677D7">
        <w:rPr>
          <w:rFonts w:ascii="Arial" w:hAnsi="Arial" w:cs="Arial"/>
        </w:rPr>
        <w:t xml:space="preserve">V regionálnom členení nezamestnaní medziročne pribudli v 5 z 8 krajov Slovenska. Najvýraznejší absolútny prírastok nezamestnaných (vyše 6-tisíc osôb) zaznamenal Banskobystrický kraj a najdynamickejší relatívny nárast, o takmer 54 %, bol zaznamenaný v Nitrianskom kraji. Naopak, najpozitívnejšia zmena nastala v Prešovskom kraji, kde počet </w:t>
      </w:r>
      <w:r w:rsidRPr="00D677D7">
        <w:rPr>
          <w:rFonts w:ascii="Arial" w:hAnsi="Arial" w:cs="Arial"/>
        </w:rPr>
        <w:lastRenderedPageBreak/>
        <w:t xml:space="preserve">nezamestnaných klesol o 7,6 tisíca osôb alebo tiež o 18 %. </w:t>
      </w:r>
    </w:p>
    <w:p w14:paraId="543C9405" w14:textId="27C7E745" w:rsidR="00D677D7" w:rsidRPr="00D677D7" w:rsidRDefault="00D677D7" w:rsidP="00D677D7">
      <w:pPr>
        <w:spacing w:after="120"/>
        <w:ind w:firstLine="284"/>
        <w:rPr>
          <w:rFonts w:ascii="Arial" w:hAnsi="Arial" w:cs="Arial"/>
        </w:rPr>
      </w:pPr>
      <w:r w:rsidRPr="00D677D7">
        <w:rPr>
          <w:rFonts w:ascii="Arial" w:hAnsi="Arial" w:cs="Arial"/>
        </w:rPr>
        <w:t>Najviac nezamestnaných bolo v Košickom kraji (takmer 35-tisíc osôb) a v Prešovskom kraji (vyše 34-tisíc osôb). Počet nezamestnaných v Prešovskom kraji sa historicky po prvýkrát znížil pod úroveň 35-tisíc osôb. Vďaka tomu si dva kraje na východe Slovenska po dlhom čase navzájom vymenili poradie na špici rebríčka regiónov s najvyšším počtom nezamestnaných. Nad 30-tisíc ľudí bez práce mal ešte Banskobystrický kraj.</w:t>
      </w:r>
    </w:p>
    <w:p w14:paraId="73DFDFE3" w14:textId="3307727D" w:rsidR="00A07607" w:rsidRPr="004A514B" w:rsidRDefault="00D677D7" w:rsidP="00D677D7">
      <w:pPr>
        <w:spacing w:after="120"/>
        <w:ind w:firstLine="284"/>
        <w:rPr>
          <w:rFonts w:ascii="Arial" w:hAnsi="Arial" w:cs="Arial"/>
          <w:color w:val="EE0000"/>
        </w:rPr>
      </w:pPr>
      <w:r w:rsidRPr="00D677D7">
        <w:rPr>
          <w:rFonts w:ascii="Arial" w:hAnsi="Arial" w:cs="Arial"/>
        </w:rPr>
        <w:t>Podobne, v rámci vývoja miery nezamestnanosti, zostalo 5 z 8 krajov pod celoslovenským priemerom. Najvyššia miera nezamestnanosti nad úrovňou 9 % bola v Banskobystrickom a Košickom kraji. Najpozitívnejšia zmena sa prejavila v Prešovskom kraji, kde miera nezamestnanosti klesla z 10,5 % na konci roka 2024 na 8,8 % v závere roka 2025. Prešovský kraj sa tak s mierou nezamestnanosti premiérovo za ostatných 5 rokov dostal na jednocifernú hodnotu.</w:t>
      </w:r>
      <w:r w:rsidR="00A07607" w:rsidRPr="004A514B">
        <w:rPr>
          <w:rFonts w:ascii="Arial" w:hAnsi="Arial" w:cs="Arial"/>
          <w:color w:val="EE0000"/>
        </w:rPr>
        <w:t xml:space="preserve"> </w:t>
      </w:r>
    </w:p>
    <w:p w14:paraId="177B6713" w14:textId="356360ED" w:rsidR="00D677D7" w:rsidRDefault="00D677D7" w:rsidP="00D677D7">
      <w:pPr>
        <w:spacing w:after="120"/>
        <w:ind w:firstLine="284"/>
        <w:rPr>
          <w:rFonts w:ascii="Arial" w:hAnsi="Arial" w:cs="Arial"/>
        </w:rPr>
      </w:pPr>
      <w:r w:rsidRPr="00D677D7">
        <w:rPr>
          <w:rFonts w:ascii="Arial" w:hAnsi="Arial" w:cs="Arial"/>
          <w:bCs/>
        </w:rPr>
        <w:t>Počet ľudí bez práce</w:t>
      </w:r>
      <w:r w:rsidRPr="00BF4001">
        <w:rPr>
          <w:rFonts w:ascii="Arial" w:hAnsi="Arial" w:cs="Arial"/>
          <w:b/>
        </w:rPr>
        <w:t xml:space="preserve"> </w:t>
      </w:r>
      <w:r w:rsidRPr="00D677D7">
        <w:rPr>
          <w:rFonts w:ascii="Arial" w:hAnsi="Arial" w:cs="Arial"/>
          <w:b/>
          <w:bCs/>
        </w:rPr>
        <w:t>v priemere za celý rok 2025</w:t>
      </w:r>
      <w:r w:rsidRPr="0031703F">
        <w:rPr>
          <w:rFonts w:ascii="Arial" w:hAnsi="Arial" w:cs="Arial"/>
        </w:rPr>
        <w:t xml:space="preserve"> </w:t>
      </w:r>
      <w:r>
        <w:rPr>
          <w:rFonts w:ascii="Arial" w:hAnsi="Arial" w:cs="Arial"/>
        </w:rPr>
        <w:t>dosiahol</w:t>
      </w:r>
      <w:r w:rsidRPr="0031703F">
        <w:rPr>
          <w:rFonts w:ascii="Arial" w:hAnsi="Arial" w:cs="Arial"/>
        </w:rPr>
        <w:t xml:space="preserve"> takmer 150-tisíc osôb. </w:t>
      </w:r>
      <w:r>
        <w:rPr>
          <w:rFonts w:ascii="Arial" w:hAnsi="Arial" w:cs="Arial"/>
        </w:rPr>
        <w:t>M</w:t>
      </w:r>
      <w:r w:rsidRPr="00DE28F8">
        <w:rPr>
          <w:rFonts w:ascii="Arial" w:hAnsi="Arial" w:cs="Arial"/>
        </w:rPr>
        <w:t>edziročn</w:t>
      </w:r>
      <w:r>
        <w:rPr>
          <w:rFonts w:ascii="Arial" w:hAnsi="Arial" w:cs="Arial"/>
        </w:rPr>
        <w:t>e ich počet stúpol o 1,2 %,</w:t>
      </w:r>
      <w:r w:rsidRPr="00DE28F8">
        <w:rPr>
          <w:rFonts w:ascii="Arial" w:hAnsi="Arial" w:cs="Arial"/>
        </w:rPr>
        <w:t xml:space="preserve"> pribudlo 1,8</w:t>
      </w:r>
      <w:r>
        <w:rPr>
          <w:rFonts w:ascii="Arial" w:hAnsi="Arial" w:cs="Arial"/>
        </w:rPr>
        <w:t>-</w:t>
      </w:r>
      <w:r w:rsidRPr="00DE28F8">
        <w:rPr>
          <w:rFonts w:ascii="Arial" w:hAnsi="Arial" w:cs="Arial"/>
        </w:rPr>
        <w:t xml:space="preserve">tisíc nezamestnaných. </w:t>
      </w:r>
      <w:r w:rsidRPr="00D677D7">
        <w:rPr>
          <w:rFonts w:ascii="Arial" w:hAnsi="Arial" w:cs="Arial"/>
          <w:bCs/>
        </w:rPr>
        <w:t>Miera nezamestnanosti v SR za celý rok 2025 dosiahla 5,4</w:t>
      </w:r>
      <w:r>
        <w:rPr>
          <w:rFonts w:ascii="Arial" w:hAnsi="Arial" w:cs="Arial"/>
          <w:bCs/>
        </w:rPr>
        <w:t> </w:t>
      </w:r>
      <w:r w:rsidRPr="00D677D7">
        <w:rPr>
          <w:rFonts w:ascii="Arial" w:hAnsi="Arial" w:cs="Arial"/>
          <w:bCs/>
        </w:rPr>
        <w:t>% po medziročnom raste o 0,1</w:t>
      </w:r>
      <w:r>
        <w:rPr>
          <w:rFonts w:ascii="Arial" w:hAnsi="Arial" w:cs="Arial"/>
          <w:bCs/>
        </w:rPr>
        <w:t xml:space="preserve"> </w:t>
      </w:r>
      <w:r w:rsidRPr="00D677D7">
        <w:rPr>
          <w:rFonts w:ascii="Arial" w:hAnsi="Arial" w:cs="Arial"/>
          <w:bCs/>
        </w:rPr>
        <w:t>p. b. Napriek zvýšeniu mali oba ukazovatele, počet nezamestn</w:t>
      </w:r>
      <w:r w:rsidRPr="00DE28F8">
        <w:rPr>
          <w:rFonts w:ascii="Arial" w:hAnsi="Arial" w:cs="Arial"/>
        </w:rPr>
        <w:t>aných ako aj miera nezamestnanosti</w:t>
      </w:r>
      <w:r>
        <w:rPr>
          <w:rFonts w:ascii="Arial" w:hAnsi="Arial" w:cs="Arial"/>
        </w:rPr>
        <w:t xml:space="preserve">, </w:t>
      </w:r>
      <w:r w:rsidRPr="00DE28F8">
        <w:rPr>
          <w:rFonts w:ascii="Arial" w:hAnsi="Arial" w:cs="Arial"/>
        </w:rPr>
        <w:t>druhú najnižšiu hodnotu za 5 rokov.</w:t>
      </w:r>
    </w:p>
    <w:p w14:paraId="742DF0A2" w14:textId="08B65D76" w:rsidR="00D677D7" w:rsidRDefault="00D677D7" w:rsidP="00D677D7">
      <w:pPr>
        <w:spacing w:after="120"/>
        <w:ind w:firstLine="284"/>
        <w:rPr>
          <w:rFonts w:ascii="Arial" w:hAnsi="Arial" w:cs="Arial"/>
        </w:rPr>
      </w:pPr>
      <w:r w:rsidRPr="00DE28F8">
        <w:rPr>
          <w:rFonts w:ascii="Arial" w:hAnsi="Arial" w:cs="Arial"/>
        </w:rPr>
        <w:t>V štruktúre nezam</w:t>
      </w:r>
      <w:r>
        <w:rPr>
          <w:rFonts w:ascii="Arial" w:hAnsi="Arial" w:cs="Arial"/>
        </w:rPr>
        <w:t>e</w:t>
      </w:r>
      <w:r w:rsidRPr="00DE28F8">
        <w:rPr>
          <w:rFonts w:ascii="Arial" w:hAnsi="Arial" w:cs="Arial"/>
        </w:rPr>
        <w:t>stnaných stále prevažovali (63</w:t>
      </w:r>
      <w:r>
        <w:rPr>
          <w:rFonts w:ascii="Arial" w:hAnsi="Arial" w:cs="Arial"/>
        </w:rPr>
        <w:t> </w:t>
      </w:r>
      <w:r w:rsidRPr="00DE28F8">
        <w:rPr>
          <w:rFonts w:ascii="Arial" w:hAnsi="Arial" w:cs="Arial"/>
        </w:rPr>
        <w:t xml:space="preserve">%) </w:t>
      </w:r>
      <w:r>
        <w:rPr>
          <w:rFonts w:ascii="Arial" w:hAnsi="Arial" w:cs="Arial"/>
        </w:rPr>
        <w:t>dlhodobo nezamestnaní (bez</w:t>
      </w:r>
      <w:r w:rsidRPr="00DE28F8">
        <w:rPr>
          <w:rFonts w:ascii="Arial" w:hAnsi="Arial" w:cs="Arial"/>
        </w:rPr>
        <w:t xml:space="preserve"> práce </w:t>
      </w:r>
      <w:r>
        <w:rPr>
          <w:rFonts w:ascii="Arial" w:hAnsi="Arial" w:cs="Arial"/>
        </w:rPr>
        <w:t xml:space="preserve">12 alebo </w:t>
      </w:r>
      <w:r w:rsidRPr="00DE28F8">
        <w:rPr>
          <w:rFonts w:ascii="Arial" w:hAnsi="Arial" w:cs="Arial"/>
        </w:rPr>
        <w:t>viac</w:t>
      </w:r>
      <w:r>
        <w:rPr>
          <w:rFonts w:ascii="Arial" w:hAnsi="Arial" w:cs="Arial"/>
        </w:rPr>
        <w:t xml:space="preserve"> mesiacov</w:t>
      </w:r>
      <w:r w:rsidRPr="00DE28F8">
        <w:rPr>
          <w:rFonts w:ascii="Arial" w:hAnsi="Arial" w:cs="Arial"/>
        </w:rPr>
        <w:t xml:space="preserve">). Ich počet </w:t>
      </w:r>
      <w:r>
        <w:rPr>
          <w:rFonts w:ascii="Arial" w:hAnsi="Arial" w:cs="Arial"/>
        </w:rPr>
        <w:t xml:space="preserve">však </w:t>
      </w:r>
      <w:r w:rsidRPr="00DE28F8">
        <w:rPr>
          <w:rFonts w:ascii="Arial" w:hAnsi="Arial" w:cs="Arial"/>
        </w:rPr>
        <w:t xml:space="preserve">klesol </w:t>
      </w:r>
      <w:r>
        <w:rPr>
          <w:rFonts w:ascii="Arial" w:hAnsi="Arial" w:cs="Arial"/>
        </w:rPr>
        <w:t>mierne</w:t>
      </w:r>
      <w:r w:rsidRPr="00DE28F8">
        <w:rPr>
          <w:rFonts w:ascii="Arial" w:hAnsi="Arial" w:cs="Arial"/>
        </w:rPr>
        <w:t xml:space="preserve"> (o</w:t>
      </w:r>
      <w:r>
        <w:rPr>
          <w:rFonts w:ascii="Arial" w:hAnsi="Arial" w:cs="Arial"/>
        </w:rPr>
        <w:t> </w:t>
      </w:r>
      <w:r w:rsidRPr="00DE28F8">
        <w:rPr>
          <w:rFonts w:ascii="Arial" w:hAnsi="Arial" w:cs="Arial"/>
        </w:rPr>
        <w:t>1,1</w:t>
      </w:r>
      <w:r>
        <w:rPr>
          <w:rFonts w:ascii="Arial" w:hAnsi="Arial" w:cs="Arial"/>
        </w:rPr>
        <w:t> </w:t>
      </w:r>
      <w:r w:rsidRPr="00DE28F8">
        <w:rPr>
          <w:rFonts w:ascii="Arial" w:hAnsi="Arial" w:cs="Arial"/>
        </w:rPr>
        <w:t xml:space="preserve">%) a najpomalšie za tri roky. </w:t>
      </w:r>
    </w:p>
    <w:p w14:paraId="2175618D" w14:textId="5CFABD6E" w:rsidR="00D677D7" w:rsidRPr="00D677D7" w:rsidRDefault="00D677D7" w:rsidP="00D677D7">
      <w:pPr>
        <w:spacing w:after="120"/>
        <w:ind w:firstLine="284"/>
        <w:rPr>
          <w:rFonts w:ascii="Arial" w:hAnsi="Arial" w:cs="Arial"/>
        </w:rPr>
      </w:pPr>
      <w:r w:rsidRPr="00D677D7">
        <w:rPr>
          <w:rFonts w:ascii="Arial" w:hAnsi="Arial" w:cs="Arial"/>
        </w:rPr>
        <w:t>Na rozdiel od predošlých rokov stúpol v roku 2025 počet krátkodobo nezamestnaných o 5,5 % (o 2,9 tisíca osôb) na takmer 55-tisíc osôb. Išlo o prvý medziročný rast od roku 2021 (od uplatnenia novej metodiky). Polovica z nich už bola bez zamestnania 6 až 11 mesiacov.</w:t>
      </w:r>
    </w:p>
    <w:p w14:paraId="2F2C2AE0" w14:textId="7345B435" w:rsidR="00D677D7" w:rsidRDefault="00D677D7" w:rsidP="00D677D7">
      <w:pPr>
        <w:spacing w:after="120"/>
        <w:ind w:firstLine="284"/>
        <w:rPr>
          <w:rFonts w:ascii="Arial" w:hAnsi="Arial" w:cs="Arial"/>
        </w:rPr>
      </w:pPr>
      <w:r>
        <w:rPr>
          <w:rFonts w:ascii="Arial" w:hAnsi="Arial" w:cs="Arial"/>
        </w:rPr>
        <w:t xml:space="preserve">Súčasne aj v roku 2025 platilo, že takmer tretinu zo všetkých nezamestnaných tvorili ľudia, </w:t>
      </w:r>
      <w:r w:rsidRPr="00DE28F8">
        <w:rPr>
          <w:rFonts w:ascii="Arial" w:hAnsi="Arial" w:cs="Arial"/>
        </w:rPr>
        <w:t>ktorí doposiaľ ešte nikd</w:t>
      </w:r>
      <w:r>
        <w:rPr>
          <w:rFonts w:ascii="Arial" w:hAnsi="Arial" w:cs="Arial"/>
        </w:rPr>
        <w:t>y</w:t>
      </w:r>
      <w:r w:rsidRPr="00DE28F8">
        <w:rPr>
          <w:rFonts w:ascii="Arial" w:hAnsi="Arial" w:cs="Arial"/>
        </w:rPr>
        <w:t xml:space="preserve"> nepracovali </w:t>
      </w:r>
      <w:r>
        <w:rPr>
          <w:rFonts w:ascii="Arial" w:hAnsi="Arial" w:cs="Arial"/>
        </w:rPr>
        <w:t>(vrátane absolventov škôl).</w:t>
      </w:r>
      <w:r w:rsidRPr="007E7862">
        <w:rPr>
          <w:rFonts w:ascii="Arial" w:hAnsi="Arial" w:cs="Arial"/>
        </w:rPr>
        <w:t xml:space="preserve"> </w:t>
      </w:r>
      <w:r>
        <w:rPr>
          <w:rFonts w:ascii="Arial" w:hAnsi="Arial" w:cs="Arial"/>
        </w:rPr>
        <w:t xml:space="preserve">Ich počet </w:t>
      </w:r>
      <w:r w:rsidRPr="00DE28F8">
        <w:rPr>
          <w:rFonts w:ascii="Arial" w:hAnsi="Arial" w:cs="Arial"/>
        </w:rPr>
        <w:t>(46,6</w:t>
      </w:r>
      <w:r>
        <w:rPr>
          <w:rFonts w:ascii="Arial" w:hAnsi="Arial" w:cs="Arial"/>
        </w:rPr>
        <w:t> </w:t>
      </w:r>
      <w:r w:rsidRPr="00DE28F8">
        <w:rPr>
          <w:rFonts w:ascii="Arial" w:hAnsi="Arial" w:cs="Arial"/>
        </w:rPr>
        <w:t xml:space="preserve">tisíc osôb) </w:t>
      </w:r>
      <w:r>
        <w:rPr>
          <w:rFonts w:ascii="Arial" w:hAnsi="Arial" w:cs="Arial"/>
        </w:rPr>
        <w:t xml:space="preserve">v </w:t>
      </w:r>
      <w:r w:rsidRPr="00DE28F8">
        <w:rPr>
          <w:rFonts w:ascii="Arial" w:hAnsi="Arial" w:cs="Arial"/>
        </w:rPr>
        <w:t xml:space="preserve">roku 2025 </w:t>
      </w:r>
      <w:r>
        <w:rPr>
          <w:rFonts w:ascii="Arial" w:hAnsi="Arial" w:cs="Arial"/>
        </w:rPr>
        <w:t>bol najnižší od roku 2021.</w:t>
      </w:r>
      <w:r w:rsidRPr="00DE28F8">
        <w:rPr>
          <w:rFonts w:ascii="Arial" w:hAnsi="Arial" w:cs="Arial"/>
        </w:rPr>
        <w:t xml:space="preserve"> </w:t>
      </w:r>
    </w:p>
    <w:p w14:paraId="4C75A63F" w14:textId="67F573ED" w:rsidR="00D677D7" w:rsidRDefault="00D677D7" w:rsidP="00D677D7">
      <w:pPr>
        <w:spacing w:after="120"/>
        <w:ind w:firstLine="284"/>
        <w:rPr>
          <w:rFonts w:ascii="Arial" w:hAnsi="Arial" w:cs="Arial"/>
        </w:rPr>
      </w:pPr>
      <w:r>
        <w:rPr>
          <w:rFonts w:ascii="Arial" w:hAnsi="Arial" w:cs="Arial"/>
        </w:rPr>
        <w:t>Z hľadiska odvetvovej štruktúry najviac nezamestnaných uvádzalo</w:t>
      </w:r>
      <w:r w:rsidRPr="00DE28F8">
        <w:rPr>
          <w:rFonts w:ascii="Arial" w:hAnsi="Arial" w:cs="Arial"/>
        </w:rPr>
        <w:t>, že naposledy pracovali v priemysle (23-tisíc osôb)</w:t>
      </w:r>
      <w:r>
        <w:rPr>
          <w:rFonts w:ascii="Arial" w:hAnsi="Arial" w:cs="Arial"/>
        </w:rPr>
        <w:t>, v</w:t>
      </w:r>
      <w:r w:rsidRPr="00DE28F8">
        <w:rPr>
          <w:rFonts w:ascii="Arial" w:hAnsi="Arial" w:cs="Arial"/>
        </w:rPr>
        <w:t xml:space="preserve"> obchod</w:t>
      </w:r>
      <w:r>
        <w:rPr>
          <w:rFonts w:ascii="Arial" w:hAnsi="Arial" w:cs="Arial"/>
        </w:rPr>
        <w:t>e</w:t>
      </w:r>
      <w:r w:rsidRPr="00DE28F8">
        <w:rPr>
          <w:rFonts w:ascii="Arial" w:hAnsi="Arial" w:cs="Arial"/>
        </w:rPr>
        <w:t xml:space="preserve"> (vyše 14-tisíc osôb)</w:t>
      </w:r>
      <w:r>
        <w:rPr>
          <w:rFonts w:ascii="Arial" w:hAnsi="Arial" w:cs="Arial"/>
        </w:rPr>
        <w:t xml:space="preserve"> a v</w:t>
      </w:r>
      <w:r w:rsidRPr="00DE28F8">
        <w:rPr>
          <w:rFonts w:ascii="Arial" w:hAnsi="Arial" w:cs="Arial"/>
        </w:rPr>
        <w:t xml:space="preserve"> stavebníctv</w:t>
      </w:r>
      <w:r>
        <w:rPr>
          <w:rFonts w:ascii="Arial" w:hAnsi="Arial" w:cs="Arial"/>
        </w:rPr>
        <w:t>e</w:t>
      </w:r>
      <w:r w:rsidRPr="00DE28F8">
        <w:rPr>
          <w:rFonts w:ascii="Arial" w:hAnsi="Arial" w:cs="Arial"/>
        </w:rPr>
        <w:t xml:space="preserve"> (bezmála 10-tisíc osôb)</w:t>
      </w:r>
      <w:r>
        <w:rPr>
          <w:rFonts w:ascii="Arial" w:hAnsi="Arial" w:cs="Arial"/>
        </w:rPr>
        <w:t xml:space="preserve">. Vyšší počet nezamestnaných pracoval naposledy ešte aj vo verejnej správe a v sociálnom zabezpečení, až </w:t>
      </w:r>
      <w:r w:rsidRPr="00DE28F8">
        <w:rPr>
          <w:rFonts w:ascii="Arial" w:hAnsi="Arial" w:cs="Arial"/>
        </w:rPr>
        <w:t>7,5-tisíc osôb</w:t>
      </w:r>
      <w:r>
        <w:rPr>
          <w:rFonts w:ascii="Arial" w:hAnsi="Arial" w:cs="Arial"/>
        </w:rPr>
        <w:t xml:space="preserve">. Medzi nezamestnanými ich bolo o 50 % viac ako v roku 2024. Nárast o 2,5 tisíca osôb predstavoval najväčší medziročný negatívny skok z 18 sledovaných odvetví. </w:t>
      </w:r>
    </w:p>
    <w:p w14:paraId="587794AE" w14:textId="3A963690" w:rsidR="00D677D7" w:rsidRPr="00D677D7" w:rsidRDefault="00D677D7" w:rsidP="00D677D7">
      <w:pPr>
        <w:spacing w:after="120"/>
        <w:ind w:firstLine="284"/>
        <w:rPr>
          <w:rFonts w:ascii="Arial" w:hAnsi="Arial" w:cs="Arial"/>
        </w:rPr>
      </w:pPr>
      <w:r w:rsidRPr="00D677D7">
        <w:rPr>
          <w:rFonts w:ascii="Arial" w:hAnsi="Arial" w:cs="Arial"/>
        </w:rPr>
        <w:t xml:space="preserve">Podľa vekovej štruktúry najväčší podiel medzi nezamestnanými (takmer 40 %) tvorili ľudia vo veku od 35 do 49 rokov. Z pohľadu medziročných zmien najviac ľudí bez práce (3,3 tisíca osôb) pribudlo v kategórii 60 ročných a starších (až 83 %). Najintenzívnejšie, takmer o štvrtinu, klesol počet nezamestnaných mladých ľudí vo veku 15 až 24 rokov a bez práce ich bolo vlani v priemere 21-tisíc, najmenej za ostatných 5 rokov. </w:t>
      </w:r>
    </w:p>
    <w:p w14:paraId="7E8FB039" w14:textId="6C3BA717" w:rsidR="00D677D7" w:rsidRPr="00D677D7" w:rsidRDefault="00D677D7" w:rsidP="00E00829">
      <w:pPr>
        <w:spacing w:after="120"/>
        <w:ind w:firstLine="284"/>
        <w:rPr>
          <w:rFonts w:ascii="Arial" w:hAnsi="Arial" w:cs="Arial"/>
        </w:rPr>
      </w:pPr>
      <w:r w:rsidRPr="00D677D7">
        <w:rPr>
          <w:rFonts w:ascii="Arial" w:hAnsi="Arial" w:cs="Arial"/>
        </w:rPr>
        <w:t>Z členenia podľa vzdelania vyplýva, že tretina (48-tisíc osôb) nezamestnaných mala úplné stredné všeobecné alebo odborné vzdelanie s maturitou. Základné vzdelanie malo iba o čosi menej ľudí bez práce (45-tisíc osôb) a jedine táto kategória mala výrazný medziročný úbytok o 5,2 tisíc</w:t>
      </w:r>
      <w:r w:rsidR="00E00829">
        <w:rPr>
          <w:rFonts w:ascii="Arial" w:hAnsi="Arial" w:cs="Arial"/>
        </w:rPr>
        <w:t>a</w:t>
      </w:r>
      <w:r w:rsidRPr="00D677D7">
        <w:rPr>
          <w:rFonts w:ascii="Arial" w:hAnsi="Arial" w:cs="Arial"/>
        </w:rPr>
        <w:t xml:space="preserve"> osôb (</w:t>
      </w:r>
      <w:r w:rsidR="00E00829">
        <w:rPr>
          <w:rFonts w:ascii="Arial" w:hAnsi="Arial" w:cs="Arial"/>
        </w:rPr>
        <w:t>o </w:t>
      </w:r>
      <w:r w:rsidRPr="00D677D7">
        <w:rPr>
          <w:rFonts w:ascii="Arial" w:hAnsi="Arial" w:cs="Arial"/>
        </w:rPr>
        <w:t>10,5</w:t>
      </w:r>
      <w:r w:rsidR="00E00829">
        <w:rPr>
          <w:rFonts w:ascii="Arial" w:hAnsi="Arial" w:cs="Arial"/>
        </w:rPr>
        <w:t> </w:t>
      </w:r>
      <w:r w:rsidRPr="00D677D7">
        <w:rPr>
          <w:rFonts w:ascii="Arial" w:hAnsi="Arial" w:cs="Arial"/>
        </w:rPr>
        <w:t>%). Naopak, najvyšší bol nárast ľudí bez práce (o</w:t>
      </w:r>
      <w:r w:rsidR="00E00829">
        <w:rPr>
          <w:rFonts w:ascii="Arial" w:hAnsi="Arial" w:cs="Arial"/>
        </w:rPr>
        <w:t> </w:t>
      </w:r>
      <w:r w:rsidRPr="00D677D7">
        <w:rPr>
          <w:rFonts w:ascii="Arial" w:hAnsi="Arial" w:cs="Arial"/>
        </w:rPr>
        <w:t>2,5</w:t>
      </w:r>
      <w:r w:rsidR="00E00829">
        <w:rPr>
          <w:rFonts w:ascii="Arial" w:hAnsi="Arial" w:cs="Arial"/>
        </w:rPr>
        <w:t> </w:t>
      </w:r>
      <w:r w:rsidRPr="00D677D7">
        <w:rPr>
          <w:rFonts w:ascii="Arial" w:hAnsi="Arial" w:cs="Arial"/>
        </w:rPr>
        <w:t>tisíc</w:t>
      </w:r>
      <w:r w:rsidR="00E00829">
        <w:rPr>
          <w:rFonts w:ascii="Arial" w:hAnsi="Arial" w:cs="Arial"/>
        </w:rPr>
        <w:t>a</w:t>
      </w:r>
      <w:r w:rsidRPr="00D677D7">
        <w:rPr>
          <w:rFonts w:ascii="Arial" w:hAnsi="Arial" w:cs="Arial"/>
        </w:rPr>
        <w:t xml:space="preserve"> osôb) s vysokoškolským vzdelaním a tvorili už 13</w:t>
      </w:r>
      <w:r w:rsidR="00E00829">
        <w:rPr>
          <w:rFonts w:ascii="Arial" w:hAnsi="Arial" w:cs="Arial"/>
        </w:rPr>
        <w:t> </w:t>
      </w:r>
      <w:r w:rsidRPr="00D677D7">
        <w:rPr>
          <w:rFonts w:ascii="Arial" w:hAnsi="Arial" w:cs="Arial"/>
        </w:rPr>
        <w:t>% zo všetkých nezamestnaných.</w:t>
      </w:r>
    </w:p>
    <w:p w14:paraId="696872D1" w14:textId="071D4F44" w:rsidR="00D677D7" w:rsidRDefault="00D677D7" w:rsidP="00D677D7">
      <w:pPr>
        <w:spacing w:after="120"/>
        <w:ind w:firstLine="284"/>
        <w:rPr>
          <w:rFonts w:ascii="Arial" w:hAnsi="Arial" w:cs="Arial"/>
        </w:rPr>
      </w:pPr>
      <w:r>
        <w:rPr>
          <w:rFonts w:ascii="Arial" w:hAnsi="Arial" w:cs="Arial"/>
        </w:rPr>
        <w:t>V regionálnom pohľade p</w:t>
      </w:r>
      <w:r w:rsidRPr="00DE28F8">
        <w:rPr>
          <w:rFonts w:ascii="Arial" w:hAnsi="Arial" w:cs="Arial"/>
        </w:rPr>
        <w:t xml:space="preserve">očet nezamestnaných </w:t>
      </w:r>
      <w:r>
        <w:rPr>
          <w:rFonts w:ascii="Arial" w:hAnsi="Arial" w:cs="Arial"/>
        </w:rPr>
        <w:t>počas roku 2025 vz</w:t>
      </w:r>
      <w:r w:rsidRPr="00DE28F8">
        <w:rPr>
          <w:rFonts w:ascii="Arial" w:hAnsi="Arial" w:cs="Arial"/>
        </w:rPr>
        <w:t xml:space="preserve">rástol v </w:t>
      </w:r>
      <w:r>
        <w:rPr>
          <w:rFonts w:ascii="Arial" w:hAnsi="Arial" w:cs="Arial"/>
        </w:rPr>
        <w:t>5</w:t>
      </w:r>
      <w:r w:rsidRPr="00DE28F8">
        <w:rPr>
          <w:rFonts w:ascii="Arial" w:hAnsi="Arial" w:cs="Arial"/>
        </w:rPr>
        <w:t xml:space="preserve"> z 8 krajov</w:t>
      </w:r>
      <w:r>
        <w:rPr>
          <w:rFonts w:ascii="Arial" w:hAnsi="Arial" w:cs="Arial"/>
        </w:rPr>
        <w:t xml:space="preserve"> v SR</w:t>
      </w:r>
      <w:r w:rsidRPr="00DE28F8">
        <w:rPr>
          <w:rFonts w:ascii="Arial" w:hAnsi="Arial" w:cs="Arial"/>
        </w:rPr>
        <w:t xml:space="preserve">, </w:t>
      </w:r>
      <w:r>
        <w:rPr>
          <w:rFonts w:ascii="Arial" w:hAnsi="Arial" w:cs="Arial"/>
        </w:rPr>
        <w:t xml:space="preserve">v troch dokonca </w:t>
      </w:r>
      <w:r w:rsidRPr="00DE28F8">
        <w:rPr>
          <w:rFonts w:ascii="Arial" w:hAnsi="Arial" w:cs="Arial"/>
        </w:rPr>
        <w:t>dvojciferne (viac ako</w:t>
      </w:r>
      <w:r>
        <w:rPr>
          <w:rFonts w:ascii="Arial" w:hAnsi="Arial" w:cs="Arial"/>
        </w:rPr>
        <w:t xml:space="preserve"> o</w:t>
      </w:r>
      <w:r w:rsidR="00E00829">
        <w:rPr>
          <w:rFonts w:ascii="Arial" w:hAnsi="Arial" w:cs="Arial"/>
        </w:rPr>
        <w:t> </w:t>
      </w:r>
      <w:r w:rsidRPr="00DE28F8">
        <w:rPr>
          <w:rFonts w:ascii="Arial" w:hAnsi="Arial" w:cs="Arial"/>
        </w:rPr>
        <w:t>10</w:t>
      </w:r>
      <w:r w:rsidR="00E00829">
        <w:rPr>
          <w:rFonts w:ascii="Arial" w:hAnsi="Arial" w:cs="Arial"/>
        </w:rPr>
        <w:t> </w:t>
      </w:r>
      <w:r w:rsidRPr="00DE28F8">
        <w:rPr>
          <w:rFonts w:ascii="Arial" w:hAnsi="Arial" w:cs="Arial"/>
        </w:rPr>
        <w:t>%)</w:t>
      </w:r>
      <w:r>
        <w:rPr>
          <w:rFonts w:ascii="Arial" w:hAnsi="Arial" w:cs="Arial"/>
        </w:rPr>
        <w:t>, a to</w:t>
      </w:r>
      <w:r w:rsidRPr="00DE28F8">
        <w:rPr>
          <w:rFonts w:ascii="Arial" w:hAnsi="Arial" w:cs="Arial"/>
        </w:rPr>
        <w:t xml:space="preserve"> v Nitrianskom, Banskobystrickom </w:t>
      </w:r>
      <w:r>
        <w:rPr>
          <w:rFonts w:ascii="Arial" w:hAnsi="Arial" w:cs="Arial"/>
        </w:rPr>
        <w:t>a prekvapivo aj v</w:t>
      </w:r>
      <w:r w:rsidRPr="00DE28F8">
        <w:rPr>
          <w:rFonts w:ascii="Arial" w:hAnsi="Arial" w:cs="Arial"/>
        </w:rPr>
        <w:t xml:space="preserve"> Bratislavskom kraji. </w:t>
      </w:r>
      <w:r>
        <w:rPr>
          <w:rFonts w:ascii="Arial" w:hAnsi="Arial" w:cs="Arial"/>
        </w:rPr>
        <w:t>Absolútne n</w:t>
      </w:r>
      <w:r w:rsidRPr="00DE28F8">
        <w:rPr>
          <w:rFonts w:ascii="Arial" w:hAnsi="Arial" w:cs="Arial"/>
        </w:rPr>
        <w:t>ajviac ľudí bez práce (2,4</w:t>
      </w:r>
      <w:r w:rsidR="00E00829">
        <w:rPr>
          <w:rFonts w:ascii="Arial" w:hAnsi="Arial" w:cs="Arial"/>
        </w:rPr>
        <w:t> </w:t>
      </w:r>
      <w:r w:rsidRPr="00DE28F8">
        <w:rPr>
          <w:rFonts w:ascii="Arial" w:hAnsi="Arial" w:cs="Arial"/>
        </w:rPr>
        <w:t>tisíc</w:t>
      </w:r>
      <w:r w:rsidR="00E00829">
        <w:rPr>
          <w:rFonts w:ascii="Arial" w:hAnsi="Arial" w:cs="Arial"/>
        </w:rPr>
        <w:t>a</w:t>
      </w:r>
      <w:r w:rsidRPr="00DE28F8">
        <w:rPr>
          <w:rFonts w:ascii="Arial" w:hAnsi="Arial" w:cs="Arial"/>
        </w:rPr>
        <w:t xml:space="preserve"> osôb) pribudlo v Banskobystrickom kraji. </w:t>
      </w:r>
      <w:r>
        <w:rPr>
          <w:rFonts w:ascii="Arial" w:hAnsi="Arial" w:cs="Arial"/>
        </w:rPr>
        <w:t>Pozitívny vývoj a t</w:t>
      </w:r>
      <w:r w:rsidRPr="00DE28F8">
        <w:rPr>
          <w:rFonts w:ascii="Arial" w:hAnsi="Arial" w:cs="Arial"/>
        </w:rPr>
        <w:t xml:space="preserve">akmer identický a zároveň najhlbší absolútny úbytok </w:t>
      </w:r>
      <w:r>
        <w:rPr>
          <w:rFonts w:ascii="Arial" w:hAnsi="Arial" w:cs="Arial"/>
        </w:rPr>
        <w:t xml:space="preserve">počtu ľudí bez práce </w:t>
      </w:r>
      <w:r w:rsidRPr="00DE28F8">
        <w:rPr>
          <w:rFonts w:ascii="Arial" w:hAnsi="Arial" w:cs="Arial"/>
        </w:rPr>
        <w:t xml:space="preserve">sa medziročne prejavil v Prešovskom kraji. </w:t>
      </w:r>
      <w:r>
        <w:rPr>
          <w:rFonts w:ascii="Arial" w:hAnsi="Arial" w:cs="Arial"/>
        </w:rPr>
        <w:t xml:space="preserve">Naďalej však bolo v tomto kraji </w:t>
      </w:r>
      <w:r w:rsidRPr="00DE28F8">
        <w:rPr>
          <w:rFonts w:ascii="Arial" w:hAnsi="Arial" w:cs="Arial"/>
        </w:rPr>
        <w:t>aj v roku 2025 najviac, bezmála 40-tisíc</w:t>
      </w:r>
      <w:r>
        <w:rPr>
          <w:rFonts w:ascii="Arial" w:hAnsi="Arial" w:cs="Arial"/>
        </w:rPr>
        <w:t>,</w:t>
      </w:r>
      <w:r w:rsidRPr="00DE28F8">
        <w:rPr>
          <w:rFonts w:ascii="Arial" w:hAnsi="Arial" w:cs="Arial"/>
        </w:rPr>
        <w:t xml:space="preserve"> nezamestnaných</w:t>
      </w:r>
      <w:r>
        <w:rPr>
          <w:rFonts w:ascii="Arial" w:hAnsi="Arial" w:cs="Arial"/>
        </w:rPr>
        <w:t>. V rebríčku regionálnej nezamestnanosti nasledovali K</w:t>
      </w:r>
      <w:r w:rsidRPr="00DE28F8">
        <w:rPr>
          <w:rFonts w:ascii="Arial" w:hAnsi="Arial" w:cs="Arial"/>
        </w:rPr>
        <w:t xml:space="preserve">ošický kraj </w:t>
      </w:r>
      <w:r>
        <w:rPr>
          <w:rFonts w:ascii="Arial" w:hAnsi="Arial" w:cs="Arial"/>
        </w:rPr>
        <w:t xml:space="preserve">s </w:t>
      </w:r>
      <w:r w:rsidRPr="00DE28F8">
        <w:rPr>
          <w:rFonts w:ascii="Arial" w:hAnsi="Arial" w:cs="Arial"/>
        </w:rPr>
        <w:t>33-tisíc</w:t>
      </w:r>
      <w:r>
        <w:rPr>
          <w:rFonts w:ascii="Arial" w:hAnsi="Arial" w:cs="Arial"/>
        </w:rPr>
        <w:t xml:space="preserve"> nezamestnanými</w:t>
      </w:r>
      <w:r w:rsidRPr="00DE28F8">
        <w:rPr>
          <w:rFonts w:ascii="Arial" w:hAnsi="Arial" w:cs="Arial"/>
        </w:rPr>
        <w:t xml:space="preserve"> a Banskobystrický </w:t>
      </w:r>
      <w:r>
        <w:rPr>
          <w:rFonts w:ascii="Arial" w:hAnsi="Arial" w:cs="Arial"/>
        </w:rPr>
        <w:t xml:space="preserve">kraj, ktorý mal </w:t>
      </w:r>
      <w:r w:rsidRPr="00DE28F8">
        <w:rPr>
          <w:rFonts w:ascii="Arial" w:hAnsi="Arial" w:cs="Arial"/>
        </w:rPr>
        <w:t xml:space="preserve">26-tisíc osôb bez </w:t>
      </w:r>
      <w:r>
        <w:rPr>
          <w:rFonts w:ascii="Arial" w:hAnsi="Arial" w:cs="Arial"/>
        </w:rPr>
        <w:t>zamestnania</w:t>
      </w:r>
      <w:r w:rsidRPr="00DE28F8">
        <w:rPr>
          <w:rFonts w:ascii="Arial" w:hAnsi="Arial" w:cs="Arial"/>
        </w:rPr>
        <w:t xml:space="preserve">. </w:t>
      </w:r>
      <w:r>
        <w:rPr>
          <w:rFonts w:ascii="Arial" w:hAnsi="Arial" w:cs="Arial"/>
        </w:rPr>
        <w:t>Tieto tri regi</w:t>
      </w:r>
      <w:r w:rsidRPr="00DE28F8">
        <w:rPr>
          <w:rFonts w:ascii="Arial" w:hAnsi="Arial" w:cs="Arial"/>
        </w:rPr>
        <w:t>óny mali aj</w:t>
      </w:r>
      <w:r>
        <w:rPr>
          <w:rFonts w:ascii="Arial" w:hAnsi="Arial" w:cs="Arial"/>
        </w:rPr>
        <w:t xml:space="preserve"> najvyššiu mieru nezamestnanosti na úrovni od 10,1</w:t>
      </w:r>
      <w:r w:rsidR="00E00829">
        <w:rPr>
          <w:rFonts w:ascii="Arial" w:hAnsi="Arial" w:cs="Arial"/>
        </w:rPr>
        <w:t> </w:t>
      </w:r>
      <w:r>
        <w:rPr>
          <w:rFonts w:ascii="Arial" w:hAnsi="Arial" w:cs="Arial"/>
        </w:rPr>
        <w:t>% do 8,3 %.</w:t>
      </w:r>
    </w:p>
    <w:p w14:paraId="16E5DDD1" w14:textId="00CEBE1C" w:rsidR="00B72A54" w:rsidRPr="00DD479B" w:rsidRDefault="00D677D7" w:rsidP="00E00829">
      <w:pPr>
        <w:spacing w:after="120"/>
        <w:ind w:firstLine="284"/>
        <w:rPr>
          <w:rFonts w:ascii="Arial" w:hAnsi="Arial" w:cs="Arial"/>
        </w:rPr>
      </w:pPr>
      <w:r>
        <w:rPr>
          <w:rFonts w:ascii="Arial" w:hAnsi="Arial" w:cs="Arial"/>
        </w:rPr>
        <w:lastRenderedPageBreak/>
        <w:t xml:space="preserve">Priaznivý medziročný vývoj miery nezamestnanosti registrovali tri regióny - Prešovský kraj a Trnavský kraj (zhodne pokles o 0,5 p. b.) a Trenčiansky kraj (pokles o 0,1 p. b.). </w:t>
      </w:r>
      <w:r w:rsidRPr="00DE28F8">
        <w:rPr>
          <w:rFonts w:ascii="Arial" w:hAnsi="Arial" w:cs="Arial"/>
        </w:rPr>
        <w:t>Najnižšiu mieru nezamestnanosti si dlhodobo zachováva Bratislavský kraj, vlani to bolo 2,5 %. Pod celoslo</w:t>
      </w:r>
      <w:r>
        <w:rPr>
          <w:rFonts w:ascii="Arial" w:hAnsi="Arial" w:cs="Arial"/>
        </w:rPr>
        <w:t>venským priemerom 5,4 % zostali</w:t>
      </w:r>
      <w:r w:rsidRPr="00DE28F8">
        <w:rPr>
          <w:rFonts w:ascii="Arial" w:hAnsi="Arial" w:cs="Arial"/>
        </w:rPr>
        <w:t xml:space="preserve"> </w:t>
      </w:r>
      <w:r>
        <w:rPr>
          <w:rFonts w:ascii="Arial" w:hAnsi="Arial" w:cs="Arial"/>
        </w:rPr>
        <w:t xml:space="preserve">aj </w:t>
      </w:r>
      <w:r w:rsidRPr="00DE28F8">
        <w:rPr>
          <w:rFonts w:ascii="Arial" w:hAnsi="Arial" w:cs="Arial"/>
        </w:rPr>
        <w:t>Žilinský, Trenčiansky, Trnavský a Nitriansky kraj.</w:t>
      </w:r>
      <w:r w:rsidR="00B72A54" w:rsidRPr="00DD479B">
        <w:rPr>
          <w:rFonts w:ascii="Arial" w:hAnsi="Arial" w:cs="Arial"/>
        </w:rPr>
        <w:t xml:space="preserve"> </w:t>
      </w:r>
    </w:p>
    <w:p w14:paraId="72512D2B" w14:textId="77777777" w:rsidR="00284D73" w:rsidRDefault="00284D73" w:rsidP="00E64795">
      <w:pPr>
        <w:tabs>
          <w:tab w:val="left" w:pos="426"/>
        </w:tabs>
        <w:rPr>
          <w:rFonts w:ascii="Arial" w:hAnsi="Arial"/>
          <w:b/>
          <w:szCs w:val="22"/>
        </w:rPr>
      </w:pPr>
    </w:p>
    <w:p w14:paraId="78C5AC04" w14:textId="135A3C0C" w:rsidR="000C6F1E" w:rsidRPr="009D0100" w:rsidRDefault="000C6F1E" w:rsidP="00E64795">
      <w:pPr>
        <w:tabs>
          <w:tab w:val="left" w:pos="426"/>
        </w:tabs>
        <w:rPr>
          <w:rStyle w:val="Odkaznapoznmkupodiarou"/>
          <w:rFonts w:ascii="Arial" w:hAnsi="Arial"/>
        </w:rPr>
      </w:pPr>
      <w:r w:rsidRPr="009D0100">
        <w:rPr>
          <w:rFonts w:ascii="Arial" w:hAnsi="Arial"/>
          <w:b/>
          <w:szCs w:val="22"/>
        </w:rPr>
        <w:t>4.</w:t>
      </w:r>
      <w:r w:rsidR="00284D73">
        <w:rPr>
          <w:rFonts w:ascii="Arial" w:hAnsi="Arial"/>
          <w:b/>
          <w:szCs w:val="22"/>
        </w:rPr>
        <w:t>2</w:t>
      </w:r>
      <w:r w:rsidRPr="009D0100">
        <w:rPr>
          <w:rFonts w:ascii="Arial" w:hAnsi="Arial"/>
          <w:b/>
          <w:szCs w:val="22"/>
        </w:rPr>
        <w:t> Priemerná mesačná mzda</w:t>
      </w:r>
      <w:r w:rsidRPr="009D0100">
        <w:rPr>
          <w:rStyle w:val="Odkaznapoznmkupodiarou"/>
          <w:rFonts w:ascii="Arial" w:hAnsi="Arial"/>
        </w:rPr>
        <w:footnoteReference w:id="25"/>
      </w:r>
      <w:r w:rsidRPr="009D0100">
        <w:rPr>
          <w:rStyle w:val="Odkaznapoznmkupodiarou"/>
          <w:rFonts w:ascii="Arial" w:hAnsi="Arial"/>
        </w:rPr>
        <w:t>)</w:t>
      </w:r>
    </w:p>
    <w:p w14:paraId="526511C2" w14:textId="7884151D" w:rsidR="000C6F1E" w:rsidRPr="009D0100" w:rsidRDefault="00DD479B" w:rsidP="00E64795">
      <w:pPr>
        <w:tabs>
          <w:tab w:val="left" w:pos="426"/>
        </w:tabs>
        <w:rPr>
          <w:rFonts w:ascii="Arial" w:hAnsi="Arial"/>
          <w:sz w:val="20"/>
        </w:rPr>
      </w:pPr>
      <w:r>
        <w:t xml:space="preserve">   </w:t>
      </w:r>
      <w:r w:rsidR="000C6F1E" w:rsidRPr="009D0100">
        <w:rPr>
          <w:rFonts w:ascii="Arial" w:hAnsi="Arial"/>
          <w:sz w:val="20"/>
        </w:rPr>
        <w:t xml:space="preserve">(tab. </w:t>
      </w:r>
      <w:r w:rsidR="00CB648F" w:rsidRPr="009D0100">
        <w:rPr>
          <w:rFonts w:ascii="Arial" w:hAnsi="Arial"/>
          <w:sz w:val="20"/>
        </w:rPr>
        <w:t>T</w:t>
      </w:r>
      <w:r w:rsidR="000C6F1E" w:rsidRPr="009D0100">
        <w:rPr>
          <w:rFonts w:ascii="Arial" w:hAnsi="Arial"/>
          <w:sz w:val="20"/>
        </w:rPr>
        <w:t xml:space="preserve">2, </w:t>
      </w:r>
      <w:r w:rsidR="00CB648F" w:rsidRPr="009D0100">
        <w:rPr>
          <w:rFonts w:ascii="Arial" w:hAnsi="Arial"/>
          <w:sz w:val="20"/>
        </w:rPr>
        <w:t>T</w:t>
      </w:r>
      <w:r w:rsidR="000C6F1E" w:rsidRPr="009D0100">
        <w:rPr>
          <w:rFonts w:ascii="Arial" w:hAnsi="Arial"/>
          <w:sz w:val="20"/>
        </w:rPr>
        <w:t>2</w:t>
      </w:r>
      <w:r w:rsidR="000955D9" w:rsidRPr="009D0100">
        <w:rPr>
          <w:rFonts w:ascii="Arial" w:hAnsi="Arial"/>
          <w:sz w:val="20"/>
        </w:rPr>
        <w:t>5</w:t>
      </w:r>
      <w:r w:rsidR="000C6F1E" w:rsidRPr="009D0100">
        <w:rPr>
          <w:rFonts w:ascii="Arial" w:hAnsi="Arial"/>
          <w:sz w:val="20"/>
        </w:rPr>
        <w:t xml:space="preserve">, </w:t>
      </w:r>
      <w:r w:rsidR="00CB648F" w:rsidRPr="009D0100">
        <w:rPr>
          <w:rFonts w:ascii="Arial" w:hAnsi="Arial"/>
          <w:sz w:val="20"/>
        </w:rPr>
        <w:t>T</w:t>
      </w:r>
      <w:r w:rsidR="000C6F1E" w:rsidRPr="009D0100">
        <w:rPr>
          <w:rFonts w:ascii="Arial" w:hAnsi="Arial"/>
          <w:sz w:val="20"/>
        </w:rPr>
        <w:t>2</w:t>
      </w:r>
      <w:r w:rsidR="000955D9" w:rsidRPr="009D0100">
        <w:rPr>
          <w:rFonts w:ascii="Arial" w:hAnsi="Arial"/>
          <w:sz w:val="20"/>
        </w:rPr>
        <w:t>6</w:t>
      </w:r>
      <w:r w:rsidR="000C6F1E" w:rsidRPr="009D0100">
        <w:rPr>
          <w:rFonts w:ascii="Arial" w:hAnsi="Arial"/>
          <w:sz w:val="20"/>
        </w:rPr>
        <w:t xml:space="preserve">, </w:t>
      </w:r>
      <w:r w:rsidR="00CB648F" w:rsidRPr="009D0100">
        <w:rPr>
          <w:rFonts w:ascii="Arial" w:hAnsi="Arial"/>
          <w:sz w:val="20"/>
        </w:rPr>
        <w:t>T</w:t>
      </w:r>
      <w:r w:rsidR="000C6F1E" w:rsidRPr="009D0100">
        <w:rPr>
          <w:rFonts w:ascii="Arial" w:hAnsi="Arial"/>
          <w:sz w:val="20"/>
        </w:rPr>
        <w:t>4</w:t>
      </w:r>
      <w:r w:rsidR="00E00829">
        <w:rPr>
          <w:rFonts w:ascii="Arial" w:hAnsi="Arial"/>
          <w:sz w:val="20"/>
        </w:rPr>
        <w:t>3</w:t>
      </w:r>
      <w:r w:rsidR="000955D9" w:rsidRPr="009D0100">
        <w:rPr>
          <w:rFonts w:ascii="Arial" w:hAnsi="Arial"/>
          <w:sz w:val="20"/>
        </w:rPr>
        <w:t>b</w:t>
      </w:r>
      <w:r w:rsidR="00F47C97" w:rsidRPr="009D0100">
        <w:rPr>
          <w:rFonts w:ascii="Arial" w:hAnsi="Arial"/>
          <w:sz w:val="20"/>
        </w:rPr>
        <w:t>,</w:t>
      </w:r>
      <w:r w:rsidR="000955D9" w:rsidRPr="009D0100">
        <w:rPr>
          <w:rFonts w:ascii="Arial" w:hAnsi="Arial"/>
          <w:sz w:val="20"/>
        </w:rPr>
        <w:t>c</w:t>
      </w:r>
      <w:r w:rsidR="000C6F1E" w:rsidRPr="009D0100">
        <w:rPr>
          <w:rFonts w:ascii="Arial" w:hAnsi="Arial"/>
          <w:sz w:val="20"/>
        </w:rPr>
        <w:t>)</w:t>
      </w:r>
    </w:p>
    <w:p w14:paraId="0A672682" w14:textId="77777777" w:rsidR="009F4B5C" w:rsidRPr="009D0100" w:rsidRDefault="009F4B5C" w:rsidP="00E64795">
      <w:pPr>
        <w:rPr>
          <w:rFonts w:ascii="Arial" w:hAnsi="Arial" w:cs="Arial"/>
          <w:bCs/>
          <w:sz w:val="24"/>
          <w:szCs w:val="24"/>
        </w:rPr>
      </w:pPr>
    </w:p>
    <w:p w14:paraId="090D1912" w14:textId="3CCA1D9C" w:rsidR="008C0E8D" w:rsidRPr="008C0E8D" w:rsidRDefault="008C0E8D" w:rsidP="008C0E8D">
      <w:pPr>
        <w:spacing w:after="120"/>
        <w:ind w:firstLine="284"/>
        <w:rPr>
          <w:rFonts w:ascii="Arial" w:hAnsi="Arial" w:cs="Arial"/>
        </w:rPr>
      </w:pPr>
      <w:r w:rsidRPr="008C0E8D">
        <w:rPr>
          <w:rFonts w:ascii="Arial" w:hAnsi="Arial" w:cs="Arial"/>
          <w:b/>
          <w:bCs/>
        </w:rPr>
        <w:t>Priemerná nominálna mesačná mzda zamestnanca v slovenskom hospodárstve</w:t>
      </w:r>
      <w:r w:rsidRPr="008C0E8D">
        <w:rPr>
          <w:rFonts w:ascii="Arial" w:hAnsi="Arial" w:cs="Arial"/>
        </w:rPr>
        <w:t xml:space="preserve"> </w:t>
      </w:r>
      <w:r w:rsidR="009C7801" w:rsidRPr="002D23A7">
        <w:rPr>
          <w:rFonts w:ascii="Arial" w:hAnsi="Arial" w:cs="Arial"/>
          <w:bCs/>
        </w:rPr>
        <w:t>v</w:t>
      </w:r>
      <w:r w:rsidR="009C7801">
        <w:rPr>
          <w:rFonts w:ascii="Arial" w:hAnsi="Arial" w:cs="Arial"/>
          <w:bCs/>
        </w:rPr>
        <w:t>o</w:t>
      </w:r>
      <w:r w:rsidR="009C7801" w:rsidRPr="002D23A7">
        <w:rPr>
          <w:rFonts w:ascii="Arial" w:hAnsi="Arial" w:cs="Arial"/>
          <w:bCs/>
        </w:rPr>
        <w:t xml:space="preserve"> </w:t>
      </w:r>
      <w:r w:rsidR="009C7801">
        <w:rPr>
          <w:rFonts w:ascii="Arial" w:hAnsi="Arial" w:cs="Arial"/>
          <w:bCs/>
        </w:rPr>
        <w:t>4</w:t>
      </w:r>
      <w:r w:rsidR="009C7801" w:rsidRPr="002D23A7">
        <w:rPr>
          <w:rFonts w:ascii="Arial" w:hAnsi="Arial" w:cs="Arial"/>
          <w:bCs/>
        </w:rPr>
        <w:t>.</w:t>
      </w:r>
      <w:r w:rsidR="009C7801">
        <w:rPr>
          <w:rFonts w:ascii="Arial" w:hAnsi="Arial" w:cs="Arial"/>
          <w:bCs/>
        </w:rPr>
        <w:t> </w:t>
      </w:r>
      <w:r w:rsidR="009C7801" w:rsidRPr="002D23A7">
        <w:rPr>
          <w:rFonts w:ascii="Arial" w:hAnsi="Arial" w:cs="Arial"/>
          <w:bCs/>
        </w:rPr>
        <w:t>štvrťroku 2025 dosiahla 1 </w:t>
      </w:r>
      <w:r w:rsidR="009C7801">
        <w:rPr>
          <w:rFonts w:ascii="Arial" w:hAnsi="Arial" w:cs="Arial"/>
          <w:bCs/>
        </w:rPr>
        <w:t>739</w:t>
      </w:r>
      <w:r w:rsidR="009C7801" w:rsidRPr="002D23A7">
        <w:rPr>
          <w:rFonts w:ascii="Arial" w:hAnsi="Arial" w:cs="Arial"/>
          <w:bCs/>
        </w:rPr>
        <w:t xml:space="preserve"> eur, čo </w:t>
      </w:r>
      <w:r w:rsidR="009C7801">
        <w:rPr>
          <w:rFonts w:ascii="Arial" w:hAnsi="Arial" w:cs="Arial"/>
          <w:bCs/>
        </w:rPr>
        <w:t xml:space="preserve">predstavuje medziročný nárast </w:t>
      </w:r>
      <w:r w:rsidR="009C7801" w:rsidRPr="002D23A7">
        <w:rPr>
          <w:rFonts w:ascii="Arial" w:hAnsi="Arial" w:cs="Arial"/>
          <w:bCs/>
        </w:rPr>
        <w:t>o </w:t>
      </w:r>
      <w:r w:rsidR="009C7801">
        <w:rPr>
          <w:rFonts w:ascii="Arial" w:hAnsi="Arial" w:cs="Arial"/>
          <w:bCs/>
        </w:rPr>
        <w:t>5</w:t>
      </w:r>
      <w:r w:rsidR="009C7801" w:rsidRPr="002D23A7">
        <w:rPr>
          <w:rFonts w:ascii="Arial" w:hAnsi="Arial" w:cs="Arial"/>
          <w:bCs/>
        </w:rPr>
        <w:t>,</w:t>
      </w:r>
      <w:r w:rsidR="009C7801">
        <w:rPr>
          <w:rFonts w:ascii="Arial" w:hAnsi="Arial" w:cs="Arial"/>
          <w:bCs/>
        </w:rPr>
        <w:t>8 </w:t>
      </w:r>
      <w:r w:rsidR="009C7801" w:rsidRPr="002D23A7">
        <w:rPr>
          <w:rFonts w:ascii="Arial" w:hAnsi="Arial" w:cs="Arial"/>
          <w:bCs/>
        </w:rPr>
        <w:t>%</w:t>
      </w:r>
      <w:r w:rsidR="009C7801">
        <w:rPr>
          <w:rFonts w:ascii="Arial" w:hAnsi="Arial" w:cs="Arial"/>
          <w:bCs/>
        </w:rPr>
        <w:t xml:space="preserve">. </w:t>
      </w:r>
      <w:r w:rsidR="009C7801" w:rsidRPr="002D23A7">
        <w:rPr>
          <w:rFonts w:ascii="Arial" w:hAnsi="Arial" w:cs="Arial"/>
          <w:bCs/>
        </w:rPr>
        <w:t>V</w:t>
      </w:r>
      <w:r w:rsidR="009C7801">
        <w:rPr>
          <w:rFonts w:ascii="Arial" w:hAnsi="Arial" w:cs="Arial"/>
          <w:bCs/>
        </w:rPr>
        <w:t xml:space="preserve"> hrubom si tak </w:t>
      </w:r>
      <w:r w:rsidR="009C7801" w:rsidRPr="002D23A7">
        <w:rPr>
          <w:rFonts w:ascii="Arial" w:hAnsi="Arial" w:cs="Arial"/>
          <w:bCs/>
        </w:rPr>
        <w:t xml:space="preserve">zamestnanci </w:t>
      </w:r>
      <w:r w:rsidR="009C7801">
        <w:rPr>
          <w:rFonts w:ascii="Arial" w:hAnsi="Arial" w:cs="Arial"/>
          <w:bCs/>
        </w:rPr>
        <w:t>polepšili v priemere</w:t>
      </w:r>
      <w:r w:rsidR="009C7801" w:rsidRPr="002D23A7">
        <w:rPr>
          <w:rFonts w:ascii="Arial" w:hAnsi="Arial" w:cs="Arial"/>
          <w:bCs/>
        </w:rPr>
        <w:t xml:space="preserve"> o </w:t>
      </w:r>
      <w:r w:rsidR="009C7801">
        <w:rPr>
          <w:rFonts w:ascii="Arial" w:hAnsi="Arial" w:cs="Arial"/>
          <w:bCs/>
        </w:rPr>
        <w:t>96</w:t>
      </w:r>
      <w:r w:rsidR="009C7801" w:rsidRPr="002D23A7">
        <w:rPr>
          <w:rFonts w:ascii="Arial" w:hAnsi="Arial" w:cs="Arial"/>
          <w:bCs/>
        </w:rPr>
        <w:t xml:space="preserve"> eur. </w:t>
      </w:r>
      <w:r w:rsidR="009C7801">
        <w:rPr>
          <w:rFonts w:ascii="Arial" w:hAnsi="Arial" w:cs="Arial"/>
          <w:bCs/>
        </w:rPr>
        <w:t>Po zohľadnení miery</w:t>
      </w:r>
      <w:r w:rsidR="009C7801" w:rsidRPr="002D23A7">
        <w:rPr>
          <w:rFonts w:ascii="Arial" w:hAnsi="Arial" w:cs="Arial"/>
          <w:bCs/>
        </w:rPr>
        <w:t xml:space="preserve"> infláci</w:t>
      </w:r>
      <w:r w:rsidR="009C7801">
        <w:rPr>
          <w:rFonts w:ascii="Arial" w:hAnsi="Arial" w:cs="Arial"/>
          <w:bCs/>
        </w:rPr>
        <w:t>e</w:t>
      </w:r>
      <w:r w:rsidR="009C7801" w:rsidRPr="002D23A7">
        <w:rPr>
          <w:rFonts w:ascii="Arial" w:hAnsi="Arial" w:cs="Arial"/>
          <w:bCs/>
        </w:rPr>
        <w:t xml:space="preserve"> </w:t>
      </w:r>
      <w:r w:rsidR="009C7801">
        <w:rPr>
          <w:rFonts w:ascii="Arial" w:hAnsi="Arial" w:cs="Arial"/>
          <w:bCs/>
        </w:rPr>
        <w:t xml:space="preserve">dosiahol reálny rast miezd v poslednom štvrťroku minulého roka </w:t>
      </w:r>
      <w:r w:rsidR="009C7801" w:rsidRPr="002D23A7">
        <w:rPr>
          <w:rFonts w:ascii="Arial" w:hAnsi="Arial" w:cs="Arial"/>
          <w:bCs/>
        </w:rPr>
        <w:t>1</w:t>
      </w:r>
      <w:r w:rsidR="009C7801">
        <w:rPr>
          <w:rFonts w:ascii="Arial" w:hAnsi="Arial" w:cs="Arial"/>
          <w:bCs/>
        </w:rPr>
        <w:t>,9 </w:t>
      </w:r>
      <w:r w:rsidR="009C7801" w:rsidRPr="002D23A7">
        <w:rPr>
          <w:rFonts w:ascii="Arial" w:hAnsi="Arial" w:cs="Arial"/>
          <w:bCs/>
        </w:rPr>
        <w:t xml:space="preserve">%. </w:t>
      </w:r>
      <w:r w:rsidR="009C7801" w:rsidRPr="00D86832">
        <w:rPr>
          <w:rFonts w:ascii="Arial" w:hAnsi="Arial" w:cs="Arial"/>
        </w:rPr>
        <w:t>Mzdy si udržali nielen nominálny, ale aj</w:t>
      </w:r>
      <w:r w:rsidR="009C7801">
        <w:rPr>
          <w:rFonts w:ascii="Arial" w:hAnsi="Arial" w:cs="Arial"/>
        </w:rPr>
        <w:t xml:space="preserve"> </w:t>
      </w:r>
      <w:r w:rsidR="009C7801" w:rsidRPr="00D86832">
        <w:rPr>
          <w:rFonts w:ascii="Arial" w:hAnsi="Arial" w:cs="Arial"/>
        </w:rPr>
        <w:t xml:space="preserve">reálny </w:t>
      </w:r>
      <w:r w:rsidR="009C7801">
        <w:rPr>
          <w:rFonts w:ascii="Arial" w:hAnsi="Arial" w:cs="Arial"/>
        </w:rPr>
        <w:t>rast</w:t>
      </w:r>
      <w:r w:rsidR="009C7801" w:rsidRPr="00D86832">
        <w:rPr>
          <w:rFonts w:ascii="Arial" w:hAnsi="Arial" w:cs="Arial"/>
        </w:rPr>
        <w:t xml:space="preserve"> </w:t>
      </w:r>
      <w:r w:rsidR="009C7801">
        <w:rPr>
          <w:rFonts w:ascii="Arial" w:hAnsi="Arial" w:cs="Arial"/>
        </w:rPr>
        <w:t>deviaty</w:t>
      </w:r>
      <w:r w:rsidR="009C7801" w:rsidRPr="00D86832">
        <w:rPr>
          <w:rFonts w:ascii="Arial" w:hAnsi="Arial" w:cs="Arial"/>
        </w:rPr>
        <w:t xml:space="preserve"> štvrťrok po sebe</w:t>
      </w:r>
      <w:r w:rsidR="009C7801">
        <w:rPr>
          <w:rFonts w:ascii="Arial" w:hAnsi="Arial" w:cs="Arial"/>
        </w:rPr>
        <w:t>.</w:t>
      </w:r>
      <w:r w:rsidR="009C7801" w:rsidRPr="002D23A7">
        <w:rPr>
          <w:rFonts w:ascii="Arial" w:hAnsi="Arial" w:cs="Arial"/>
          <w:bCs/>
        </w:rPr>
        <w:t xml:space="preserve"> </w:t>
      </w:r>
      <w:r w:rsidR="009C7801" w:rsidRPr="00BC0D17">
        <w:rPr>
          <w:rFonts w:ascii="Arial" w:hAnsi="Arial" w:cs="Arial"/>
          <w:bCs/>
        </w:rPr>
        <w:t xml:space="preserve">Sezónne očistená priemerná mzda </w:t>
      </w:r>
      <w:r w:rsidR="009C7801">
        <w:rPr>
          <w:rFonts w:ascii="Arial" w:hAnsi="Arial" w:cs="Arial"/>
          <w:bCs/>
        </w:rPr>
        <w:t>oproti 3</w:t>
      </w:r>
      <w:r w:rsidR="009C7801" w:rsidRPr="00BC0D17">
        <w:rPr>
          <w:rFonts w:ascii="Arial" w:hAnsi="Arial" w:cs="Arial"/>
          <w:bCs/>
        </w:rPr>
        <w:t>. štvrťrok</w:t>
      </w:r>
      <w:r w:rsidR="009C7801">
        <w:rPr>
          <w:rFonts w:ascii="Arial" w:hAnsi="Arial" w:cs="Arial"/>
          <w:bCs/>
        </w:rPr>
        <w:t>u</w:t>
      </w:r>
      <w:r w:rsidR="009C7801" w:rsidRPr="00BC0D17">
        <w:rPr>
          <w:rFonts w:ascii="Arial" w:hAnsi="Arial" w:cs="Arial"/>
          <w:bCs/>
        </w:rPr>
        <w:t xml:space="preserve"> 2025</w:t>
      </w:r>
      <w:r w:rsidR="009C7801">
        <w:rPr>
          <w:rFonts w:ascii="Arial" w:hAnsi="Arial" w:cs="Arial"/>
          <w:bCs/>
        </w:rPr>
        <w:t xml:space="preserve"> vzrástla o 1,5 %</w:t>
      </w:r>
      <w:r w:rsidR="009C7801" w:rsidRPr="00BC0D17">
        <w:rPr>
          <w:rFonts w:ascii="Arial" w:hAnsi="Arial" w:cs="Arial"/>
          <w:bCs/>
        </w:rPr>
        <w:t>.</w:t>
      </w:r>
    </w:p>
    <w:p w14:paraId="684BB4D8" w14:textId="33C7AF85" w:rsidR="00080468" w:rsidRDefault="009C7801" w:rsidP="008C0E8D">
      <w:pPr>
        <w:spacing w:after="120"/>
        <w:ind w:firstLine="284"/>
        <w:rPr>
          <w:rFonts w:ascii="Arial" w:hAnsi="Arial" w:cs="Arial"/>
        </w:rPr>
      </w:pPr>
      <w:r w:rsidRPr="00A24545">
        <w:rPr>
          <w:rFonts w:ascii="Arial" w:hAnsi="Arial" w:cs="Arial"/>
        </w:rPr>
        <w:t>V štruktúre ekonomiky zaznamenalo medziročný rast priemernej nominálnej mz</w:t>
      </w:r>
      <w:r>
        <w:rPr>
          <w:rFonts w:ascii="Arial" w:hAnsi="Arial" w:cs="Arial"/>
        </w:rPr>
        <w:t xml:space="preserve">dy </w:t>
      </w:r>
      <w:r w:rsidRPr="00A24545">
        <w:rPr>
          <w:rFonts w:ascii="Arial" w:hAnsi="Arial" w:cs="Arial"/>
        </w:rPr>
        <w:t xml:space="preserve">všetkých 19 sledovaných odvetví hospodárstva. Zvýšenie </w:t>
      </w:r>
      <w:r>
        <w:rPr>
          <w:rFonts w:ascii="Arial" w:hAnsi="Arial" w:cs="Arial"/>
        </w:rPr>
        <w:t xml:space="preserve">úrovne zárobkov </w:t>
      </w:r>
      <w:r w:rsidRPr="00A24545">
        <w:rPr>
          <w:rFonts w:ascii="Arial" w:hAnsi="Arial" w:cs="Arial"/>
        </w:rPr>
        <w:t xml:space="preserve">sa pohybovalo od </w:t>
      </w:r>
      <w:r>
        <w:rPr>
          <w:rFonts w:ascii="Arial" w:hAnsi="Arial" w:cs="Arial"/>
        </w:rPr>
        <w:t>takmer 3 </w:t>
      </w:r>
      <w:r w:rsidRPr="00A24545">
        <w:rPr>
          <w:rFonts w:ascii="Arial" w:hAnsi="Arial" w:cs="Arial"/>
        </w:rPr>
        <w:t>%</w:t>
      </w:r>
      <w:r>
        <w:rPr>
          <w:rFonts w:ascii="Arial" w:hAnsi="Arial" w:cs="Arial"/>
        </w:rPr>
        <w:t xml:space="preserve"> </w:t>
      </w:r>
      <w:r w:rsidRPr="00A24545">
        <w:rPr>
          <w:rFonts w:ascii="Arial" w:hAnsi="Arial" w:cs="Arial"/>
        </w:rPr>
        <w:t>v</w:t>
      </w:r>
      <w:r>
        <w:rPr>
          <w:rFonts w:ascii="Arial" w:hAnsi="Arial" w:cs="Arial"/>
        </w:rPr>
        <w:t>o</w:t>
      </w:r>
      <w:r w:rsidRPr="00DD3A5C">
        <w:rPr>
          <w:rFonts w:ascii="Arial" w:hAnsi="Arial" w:cs="Arial"/>
        </w:rPr>
        <w:t xml:space="preserve"> verejnej správ</w:t>
      </w:r>
      <w:r>
        <w:rPr>
          <w:rFonts w:ascii="Arial" w:hAnsi="Arial" w:cs="Arial"/>
        </w:rPr>
        <w:t>e</w:t>
      </w:r>
      <w:r w:rsidRPr="00DD3A5C">
        <w:rPr>
          <w:rFonts w:ascii="Arial" w:hAnsi="Arial" w:cs="Arial"/>
        </w:rPr>
        <w:t xml:space="preserve"> </w:t>
      </w:r>
      <w:r w:rsidRPr="00A24545">
        <w:rPr>
          <w:rFonts w:ascii="Arial" w:hAnsi="Arial" w:cs="Arial"/>
        </w:rPr>
        <w:t xml:space="preserve">až </w:t>
      </w:r>
      <w:r>
        <w:rPr>
          <w:rFonts w:ascii="Arial" w:hAnsi="Arial" w:cs="Arial"/>
        </w:rPr>
        <w:t>po viac ako 11 % v dodávke elektriny, plynu a pary</w:t>
      </w:r>
      <w:r w:rsidRPr="00A24545">
        <w:rPr>
          <w:rFonts w:ascii="Arial" w:hAnsi="Arial" w:cs="Arial"/>
        </w:rPr>
        <w:t>.</w:t>
      </w:r>
      <w:r>
        <w:rPr>
          <w:rFonts w:ascii="Arial" w:hAnsi="Arial" w:cs="Arial"/>
        </w:rPr>
        <w:t xml:space="preserve"> </w:t>
      </w:r>
      <w:r w:rsidRPr="00D86832">
        <w:rPr>
          <w:rFonts w:ascii="Arial" w:hAnsi="Arial" w:cs="Arial"/>
        </w:rPr>
        <w:t>Po z</w:t>
      </w:r>
      <w:r>
        <w:rPr>
          <w:rFonts w:ascii="Arial" w:hAnsi="Arial" w:cs="Arial"/>
        </w:rPr>
        <w:t>apočítaní</w:t>
      </w:r>
      <w:r w:rsidRPr="00D86832">
        <w:rPr>
          <w:rFonts w:ascii="Arial" w:hAnsi="Arial" w:cs="Arial"/>
        </w:rPr>
        <w:t xml:space="preserve"> inflácie v </w:t>
      </w:r>
      <w:r>
        <w:rPr>
          <w:rFonts w:ascii="Arial" w:hAnsi="Arial" w:cs="Arial"/>
        </w:rPr>
        <w:t xml:space="preserve">3 sektoroch </w:t>
      </w:r>
      <w:r w:rsidRPr="00D86832">
        <w:rPr>
          <w:rFonts w:ascii="Arial" w:hAnsi="Arial" w:cs="Arial"/>
        </w:rPr>
        <w:t>mzdy reálne klesli,</w:t>
      </w:r>
      <w:r>
        <w:rPr>
          <w:rFonts w:ascii="Arial" w:hAnsi="Arial" w:cs="Arial"/>
        </w:rPr>
        <w:t xml:space="preserve"> a to</w:t>
      </w:r>
      <w:r w:rsidRPr="00D86832">
        <w:rPr>
          <w:rFonts w:ascii="Arial" w:hAnsi="Arial" w:cs="Arial"/>
        </w:rPr>
        <w:t xml:space="preserve"> </w:t>
      </w:r>
      <w:r>
        <w:rPr>
          <w:rFonts w:ascii="Arial" w:hAnsi="Arial" w:cs="Arial"/>
        </w:rPr>
        <w:t xml:space="preserve">vo </w:t>
      </w:r>
      <w:r w:rsidRPr="00D86832">
        <w:rPr>
          <w:rFonts w:ascii="Arial" w:hAnsi="Arial" w:cs="Arial"/>
        </w:rPr>
        <w:t>verejnej správe</w:t>
      </w:r>
      <w:r>
        <w:rPr>
          <w:rFonts w:ascii="Arial" w:hAnsi="Arial" w:cs="Arial"/>
          <w:vertAlign w:val="superscript"/>
        </w:rPr>
        <w:t xml:space="preserve"> </w:t>
      </w:r>
      <w:r>
        <w:rPr>
          <w:rFonts w:ascii="Arial" w:hAnsi="Arial" w:cs="Arial"/>
        </w:rPr>
        <w:t xml:space="preserve">o 1,2 %,  </w:t>
      </w:r>
      <w:r w:rsidRPr="00D86832">
        <w:rPr>
          <w:rFonts w:ascii="Arial" w:hAnsi="Arial" w:cs="Arial"/>
        </w:rPr>
        <w:t>v</w:t>
      </w:r>
      <w:r>
        <w:rPr>
          <w:rFonts w:ascii="Arial" w:hAnsi="Arial" w:cs="Arial"/>
        </w:rPr>
        <w:t xml:space="preserve"> administratívnych službách o 0,6 % a v oblasti </w:t>
      </w:r>
      <w:r w:rsidRPr="00D86832">
        <w:rPr>
          <w:rFonts w:ascii="Arial" w:hAnsi="Arial" w:cs="Arial"/>
        </w:rPr>
        <w:t>nehnuteľnost</w:t>
      </w:r>
      <w:r>
        <w:rPr>
          <w:rFonts w:ascii="Arial" w:hAnsi="Arial" w:cs="Arial"/>
        </w:rPr>
        <w:t>í o 0,4 %</w:t>
      </w:r>
      <w:r w:rsidRPr="00D86832">
        <w:rPr>
          <w:rFonts w:ascii="Arial" w:hAnsi="Arial" w:cs="Arial"/>
        </w:rPr>
        <w:t>.</w:t>
      </w:r>
      <w:r>
        <w:rPr>
          <w:rFonts w:ascii="Arial" w:hAnsi="Arial" w:cs="Arial"/>
        </w:rPr>
        <w:t xml:space="preserve"> </w:t>
      </w:r>
      <w:r w:rsidRPr="002D23A7">
        <w:rPr>
          <w:rFonts w:ascii="Arial" w:hAnsi="Arial" w:cs="Arial"/>
          <w:bCs/>
        </w:rPr>
        <w:t>Vyšší reálny rast platov ako bol priemer za celé</w:t>
      </w:r>
      <w:r w:rsidRPr="00D86832">
        <w:rPr>
          <w:rFonts w:ascii="Arial" w:hAnsi="Arial" w:cs="Arial"/>
        </w:rPr>
        <w:t xml:space="preserve"> hospodárstvo SR dosiahli zamestnanci v </w:t>
      </w:r>
      <w:r>
        <w:rPr>
          <w:rFonts w:ascii="Arial" w:hAnsi="Arial" w:cs="Arial"/>
        </w:rPr>
        <w:t>14</w:t>
      </w:r>
      <w:r w:rsidRPr="00D86832">
        <w:rPr>
          <w:rFonts w:ascii="Arial" w:hAnsi="Arial" w:cs="Arial"/>
        </w:rPr>
        <w:t xml:space="preserve"> odvetviach.</w:t>
      </w:r>
    </w:p>
    <w:p w14:paraId="594DA265" w14:textId="35569FE9" w:rsidR="00CA723D" w:rsidRDefault="006E31E7" w:rsidP="008C0E8D">
      <w:pPr>
        <w:spacing w:after="120"/>
        <w:ind w:firstLine="284"/>
        <w:rPr>
          <w:rFonts w:ascii="Arial" w:hAnsi="Arial" w:cs="Arial"/>
        </w:rPr>
      </w:pPr>
      <w:r>
        <w:rPr>
          <w:noProof/>
        </w:rPr>
        <w:drawing>
          <wp:inline distT="0" distB="0" distL="0" distR="0" wp14:anchorId="574180D0" wp14:editId="2A1525A1">
            <wp:extent cx="5657849" cy="3209924"/>
            <wp:effectExtent l="0" t="0" r="635" b="0"/>
            <wp:docPr id="448190298" name="Graf 1">
              <a:extLst xmlns:a="http://schemas.openxmlformats.org/drawingml/2006/main">
                <a:ext uri="{FF2B5EF4-FFF2-40B4-BE49-F238E27FC236}">
                  <a16:creationId xmlns:a16="http://schemas.microsoft.com/office/drawing/2014/main" id="{00000000-0008-0000-0300-0000FF1C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92ED0D1" w14:textId="77777777" w:rsidR="009C7801" w:rsidRPr="009C7801" w:rsidRDefault="009C7801" w:rsidP="009C7801">
      <w:pPr>
        <w:spacing w:after="120"/>
        <w:ind w:firstLine="284"/>
        <w:rPr>
          <w:rFonts w:ascii="Arial" w:hAnsi="Arial" w:cs="Arial"/>
        </w:rPr>
      </w:pPr>
      <w:r w:rsidRPr="009C7801">
        <w:rPr>
          <w:rFonts w:ascii="Arial" w:hAnsi="Arial" w:cs="Arial"/>
        </w:rPr>
        <w:t>V priemysle, ktorý na Slovensku zamestnáva najviac ľudí, sa hrubá mesačná mzda vo 4. štvrťroku 2025 medziročne zvýšila o 6,7 % na 1 884 eur. Jej reálna hodnota stúpla o 2,8 %. V obchode, v druhom najväčšom zamestnávateľovi, nominálne mzdy stúpli o 5,6 % na 1 597 eur. Reálny rast zárobkov pracovníkov v obchode dosiahol 1,7 %, čo bolo pod úrovňou priemeru za celé hospodárstvo SR.</w:t>
      </w:r>
    </w:p>
    <w:p w14:paraId="7448D561" w14:textId="040DAF08" w:rsidR="009C7801" w:rsidRDefault="009C7801" w:rsidP="009C7801">
      <w:pPr>
        <w:spacing w:after="120"/>
        <w:ind w:firstLine="284"/>
        <w:rPr>
          <w:rFonts w:ascii="Arial" w:hAnsi="Arial" w:cs="Arial"/>
          <w:bCs/>
        </w:rPr>
      </w:pPr>
      <w:r w:rsidRPr="009C7801">
        <w:rPr>
          <w:rFonts w:ascii="Arial" w:hAnsi="Arial" w:cs="Arial"/>
        </w:rPr>
        <w:t xml:space="preserve">Aktuálne najvyššiu priemernú mesačnú mzdu nad 3-tisíc eur mali počas 4. štvrťroka 2025 zamestnanci v dodávke energií (elektriny, plynu a pary). Naopak, najnižšie zárobky si naďalej udržali zamestnanci v ubytovacích a stravovacích službách, ich mzda len veľmi tesne prevýšila hranicu tisíc eur. Všetkých 19 sledovaných odvetví tak už druhý štvrťrok po sebe dosiahlo </w:t>
      </w:r>
      <w:r w:rsidRPr="009C7801">
        <w:rPr>
          <w:rFonts w:ascii="Arial" w:hAnsi="Arial" w:cs="Arial"/>
        </w:rPr>
        <w:lastRenderedPageBreak/>
        <w:t>priemernú mzdu nad tisíc eur.</w:t>
      </w:r>
    </w:p>
    <w:p w14:paraId="3FC05A67" w14:textId="538D7185" w:rsidR="00CA723D" w:rsidRDefault="009C7801" w:rsidP="00CA723D">
      <w:pPr>
        <w:spacing w:after="120"/>
        <w:ind w:firstLine="284"/>
        <w:rPr>
          <w:rFonts w:ascii="Arial" w:hAnsi="Arial" w:cs="Arial"/>
          <w:bCs/>
        </w:rPr>
      </w:pPr>
      <w:r w:rsidRPr="00F96DBD">
        <w:rPr>
          <w:rFonts w:ascii="Arial" w:hAnsi="Arial" w:cs="Arial"/>
          <w:bCs/>
        </w:rPr>
        <w:t>Z regionálneho pohľadu si nadpriemern</w:t>
      </w:r>
      <w:r>
        <w:rPr>
          <w:rFonts w:ascii="Arial" w:hAnsi="Arial" w:cs="Arial"/>
          <w:bCs/>
        </w:rPr>
        <w:t>ú</w:t>
      </w:r>
      <w:r w:rsidRPr="00F96DBD">
        <w:rPr>
          <w:rFonts w:ascii="Arial" w:hAnsi="Arial" w:cs="Arial"/>
          <w:bCs/>
        </w:rPr>
        <w:t xml:space="preserve"> mzd</w:t>
      </w:r>
      <w:r>
        <w:rPr>
          <w:rFonts w:ascii="Arial" w:hAnsi="Arial" w:cs="Arial"/>
          <w:bCs/>
        </w:rPr>
        <w:t>u</w:t>
      </w:r>
      <w:r w:rsidRPr="00F96DBD">
        <w:rPr>
          <w:rFonts w:ascii="Arial" w:hAnsi="Arial" w:cs="Arial"/>
          <w:bCs/>
        </w:rPr>
        <w:t xml:space="preserve"> udržal </w:t>
      </w:r>
      <w:r>
        <w:rPr>
          <w:rFonts w:ascii="Arial" w:hAnsi="Arial" w:cs="Arial"/>
          <w:bCs/>
        </w:rPr>
        <w:t>len</w:t>
      </w:r>
      <w:r w:rsidRPr="00F96DBD">
        <w:rPr>
          <w:rFonts w:ascii="Arial" w:hAnsi="Arial" w:cs="Arial"/>
          <w:bCs/>
        </w:rPr>
        <w:t xml:space="preserve"> Bratislavský kraj</w:t>
      </w:r>
      <w:r>
        <w:rPr>
          <w:rFonts w:ascii="Arial" w:hAnsi="Arial" w:cs="Arial"/>
          <w:bCs/>
        </w:rPr>
        <w:t>, kde dosiahla 2 068</w:t>
      </w:r>
      <w:r w:rsidRPr="00F96DBD">
        <w:rPr>
          <w:rFonts w:ascii="Arial" w:hAnsi="Arial" w:cs="Arial"/>
          <w:bCs/>
        </w:rPr>
        <w:t> eur. V ostatných krajoch sa mzdy pohybovali od 1 </w:t>
      </w:r>
      <w:r>
        <w:rPr>
          <w:rFonts w:ascii="Arial" w:hAnsi="Arial" w:cs="Arial"/>
          <w:bCs/>
        </w:rPr>
        <w:t>411</w:t>
      </w:r>
      <w:r w:rsidRPr="00F96DBD">
        <w:rPr>
          <w:rFonts w:ascii="Arial" w:hAnsi="Arial" w:cs="Arial"/>
          <w:bCs/>
        </w:rPr>
        <w:t xml:space="preserve"> eur v Prešovskom kraji </w:t>
      </w:r>
      <w:r>
        <w:rPr>
          <w:rFonts w:ascii="Arial" w:hAnsi="Arial" w:cs="Arial"/>
          <w:bCs/>
        </w:rPr>
        <w:t>p</w:t>
      </w:r>
      <w:r w:rsidRPr="00F96DBD">
        <w:rPr>
          <w:rFonts w:ascii="Arial" w:hAnsi="Arial" w:cs="Arial"/>
          <w:bCs/>
        </w:rPr>
        <w:t>o 1 </w:t>
      </w:r>
      <w:r>
        <w:rPr>
          <w:rFonts w:ascii="Arial" w:hAnsi="Arial" w:cs="Arial"/>
          <w:bCs/>
        </w:rPr>
        <w:t>685</w:t>
      </w:r>
      <w:r w:rsidRPr="00F96DBD">
        <w:rPr>
          <w:rFonts w:ascii="Arial" w:hAnsi="Arial" w:cs="Arial"/>
          <w:bCs/>
        </w:rPr>
        <w:t xml:space="preserve"> eur v</w:t>
      </w:r>
      <w:r>
        <w:rPr>
          <w:rFonts w:ascii="Arial" w:hAnsi="Arial" w:cs="Arial"/>
          <w:bCs/>
        </w:rPr>
        <w:t xml:space="preserve"> Trenčianskom </w:t>
      </w:r>
      <w:r w:rsidRPr="00F96DBD">
        <w:rPr>
          <w:rFonts w:ascii="Arial" w:hAnsi="Arial" w:cs="Arial"/>
          <w:bCs/>
        </w:rPr>
        <w:t xml:space="preserve">kraji. Nominálna mzda </w:t>
      </w:r>
      <w:r>
        <w:rPr>
          <w:rFonts w:ascii="Arial" w:hAnsi="Arial" w:cs="Arial"/>
          <w:bCs/>
        </w:rPr>
        <w:t xml:space="preserve">medziročne vzrástla </w:t>
      </w:r>
      <w:r w:rsidRPr="00F96DBD">
        <w:rPr>
          <w:rFonts w:ascii="Arial" w:hAnsi="Arial" w:cs="Arial"/>
          <w:bCs/>
        </w:rPr>
        <w:t>vo všetkých regiónoch</w:t>
      </w:r>
      <w:r>
        <w:rPr>
          <w:rFonts w:ascii="Arial" w:hAnsi="Arial" w:cs="Arial"/>
          <w:bCs/>
        </w:rPr>
        <w:t xml:space="preserve">, pričom </w:t>
      </w:r>
      <w:r w:rsidRPr="00F96DBD">
        <w:rPr>
          <w:rFonts w:ascii="Arial" w:hAnsi="Arial" w:cs="Arial"/>
          <w:bCs/>
        </w:rPr>
        <w:t>najvýraznejší nárast</w:t>
      </w:r>
      <w:r>
        <w:rPr>
          <w:rFonts w:ascii="Arial" w:hAnsi="Arial" w:cs="Arial"/>
          <w:bCs/>
        </w:rPr>
        <w:t xml:space="preserve"> na úrovni 8 </w:t>
      </w:r>
      <w:r w:rsidRPr="00F96DBD">
        <w:rPr>
          <w:rFonts w:ascii="Arial" w:hAnsi="Arial" w:cs="Arial"/>
          <w:bCs/>
        </w:rPr>
        <w:t>%</w:t>
      </w:r>
      <w:r>
        <w:rPr>
          <w:rFonts w:ascii="Arial" w:hAnsi="Arial" w:cs="Arial"/>
          <w:bCs/>
        </w:rPr>
        <w:t>,</w:t>
      </w:r>
      <w:r w:rsidRPr="00F96DBD">
        <w:rPr>
          <w:rFonts w:ascii="Arial" w:hAnsi="Arial" w:cs="Arial"/>
          <w:bCs/>
        </w:rPr>
        <w:t xml:space="preserve"> zaznamenal </w:t>
      </w:r>
      <w:r>
        <w:rPr>
          <w:rFonts w:ascii="Arial" w:hAnsi="Arial" w:cs="Arial"/>
          <w:bCs/>
        </w:rPr>
        <w:t>Nitriansky</w:t>
      </w:r>
      <w:r w:rsidRPr="00F96DBD">
        <w:rPr>
          <w:rFonts w:ascii="Arial" w:hAnsi="Arial" w:cs="Arial"/>
          <w:bCs/>
        </w:rPr>
        <w:t xml:space="preserve"> kraj. </w:t>
      </w:r>
      <w:r w:rsidRPr="00227080">
        <w:rPr>
          <w:rFonts w:ascii="Arial" w:hAnsi="Arial" w:cs="Arial"/>
          <w:bCs/>
        </w:rPr>
        <w:t>Reálne rástli zárobky v 7 z 8 krajov Slovenska, len v</w:t>
      </w:r>
      <w:r>
        <w:rPr>
          <w:rFonts w:ascii="Arial" w:hAnsi="Arial" w:cs="Arial"/>
          <w:bCs/>
        </w:rPr>
        <w:t xml:space="preserve"> Banskobystrickom </w:t>
      </w:r>
      <w:r w:rsidRPr="00227080">
        <w:rPr>
          <w:rFonts w:ascii="Arial" w:hAnsi="Arial" w:cs="Arial"/>
          <w:bCs/>
        </w:rPr>
        <w:t>kraji došlo k poklesu o 0,</w:t>
      </w:r>
      <w:r>
        <w:rPr>
          <w:rFonts w:ascii="Arial" w:hAnsi="Arial" w:cs="Arial"/>
          <w:bCs/>
        </w:rPr>
        <w:t>8 </w:t>
      </w:r>
      <w:r w:rsidRPr="00227080">
        <w:rPr>
          <w:rFonts w:ascii="Arial" w:hAnsi="Arial" w:cs="Arial"/>
          <w:bCs/>
        </w:rPr>
        <w:t>%.</w:t>
      </w:r>
    </w:p>
    <w:p w14:paraId="5CFFDF44" w14:textId="5C987FCE" w:rsidR="006E31E7" w:rsidRDefault="00DD479B" w:rsidP="009C7801">
      <w:pPr>
        <w:spacing w:after="120"/>
        <w:ind w:firstLine="142"/>
        <w:rPr>
          <w:rFonts w:ascii="Arial" w:hAnsi="Arial" w:cs="Arial"/>
          <w:b/>
          <w:bCs/>
        </w:rPr>
      </w:pPr>
      <w:r>
        <w:t xml:space="preserve">  </w:t>
      </w:r>
      <w:r w:rsidR="00080468">
        <w:t xml:space="preserve"> </w:t>
      </w:r>
      <w:r w:rsidR="006E31E7">
        <w:rPr>
          <w:noProof/>
        </w:rPr>
        <w:drawing>
          <wp:inline distT="0" distB="0" distL="0" distR="0" wp14:anchorId="20DA9E44" wp14:editId="7DF6562A">
            <wp:extent cx="4572000" cy="3962401"/>
            <wp:effectExtent l="0" t="0" r="0" b="0"/>
            <wp:docPr id="2065608662" name="Graf 1">
              <a:extLst xmlns:a="http://schemas.openxmlformats.org/drawingml/2006/main">
                <a:ext uri="{FF2B5EF4-FFF2-40B4-BE49-F238E27FC236}">
                  <a16:creationId xmlns:a16="http://schemas.microsoft.com/office/drawing/2014/main" id="{125A9548-D3F7-1379-416A-E550A92EC8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08B0E4C" w14:textId="1B490D86" w:rsidR="009C7801" w:rsidRPr="009C7801" w:rsidRDefault="009C7801" w:rsidP="009C7801">
      <w:pPr>
        <w:spacing w:after="120"/>
        <w:ind w:firstLine="284"/>
        <w:rPr>
          <w:rFonts w:ascii="Arial" w:hAnsi="Arial" w:cs="Arial"/>
          <w:bCs/>
        </w:rPr>
      </w:pPr>
      <w:r w:rsidRPr="009C7801">
        <w:rPr>
          <w:rFonts w:ascii="Arial" w:hAnsi="Arial" w:cs="Arial"/>
          <w:b/>
        </w:rPr>
        <w:t>Priemerná nominálna mesačná mzda zamestnanca v hospodárstve SR za celý rok 2025</w:t>
      </w:r>
      <w:r w:rsidRPr="009C7801">
        <w:rPr>
          <w:rFonts w:ascii="Arial" w:hAnsi="Arial" w:cs="Arial"/>
          <w:bCs/>
        </w:rPr>
        <w:t xml:space="preserve"> dosiahla 1 620 eur, čo predstavuje medziročný nárast o 6,3 % teda o 96 eur. Hoci tempo zvyšovania hrubých miezd bolo najnižšie za posledných 5 rokov, stačilo na to, aby mzdy rástli aj reálne. Kvôli vyššej inflácii reálne zárobky vzrástli len o 2,2 %, zatiaľ čo v roku 2024 dosiahli svoj najvyšší rast od roku 2019, a to 3,7 %. </w:t>
      </w:r>
    </w:p>
    <w:p w14:paraId="11B04B0F" w14:textId="77777777" w:rsidR="009C7801" w:rsidRPr="009C7801" w:rsidRDefault="009C7801" w:rsidP="009C7801">
      <w:pPr>
        <w:spacing w:after="120"/>
        <w:ind w:firstLine="284"/>
        <w:rPr>
          <w:rFonts w:ascii="Arial" w:hAnsi="Arial" w:cs="Arial"/>
          <w:bCs/>
        </w:rPr>
      </w:pPr>
      <w:r w:rsidRPr="009C7801">
        <w:rPr>
          <w:rFonts w:ascii="Arial" w:hAnsi="Arial" w:cs="Arial"/>
          <w:bCs/>
        </w:rPr>
        <w:t xml:space="preserve">Priemerná ročná mzda sa počíta na základe referenčných štvrťročných údajov vychádzajúcich z podnikových štatistík a následne sa používa aj pri výpočtoch v oblasti sociálneho zabezpečenia. </w:t>
      </w:r>
    </w:p>
    <w:p w14:paraId="29E0A56A" w14:textId="77777777" w:rsidR="009C7801" w:rsidRPr="009C7801" w:rsidRDefault="009C7801" w:rsidP="009C7801">
      <w:pPr>
        <w:spacing w:after="120"/>
        <w:ind w:firstLine="284"/>
        <w:rPr>
          <w:rFonts w:ascii="Arial" w:hAnsi="Arial" w:cs="Arial"/>
          <w:bCs/>
        </w:rPr>
      </w:pPr>
      <w:r w:rsidRPr="009C7801">
        <w:rPr>
          <w:rFonts w:ascii="Arial" w:hAnsi="Arial" w:cs="Arial"/>
          <w:bCs/>
        </w:rPr>
        <w:t>Priemerné mzdy vlani medziročne nominálne aj reálne stúpli vo všetkých 19 sledovaných odvetviach, najmenej v administratívnych službách a najvýraznejšie v ťažbe a dobývaní. Najdynamickejší reálny rast nad 4,5 % sa prejavil v ťažbe, dodávke vody, v zdravotníctve a tiež v ubytovacích a stravovacích službách, kde sa dlhodobo zarába najmenej a platilo to aj v roku 2025. Priemerná hrubá mzda zamestnancov v ubytovacích a stravovacích službách vlani dosiahla iba 969 eur, ako jediné odvetvie stále neprekročilo hranicu tisíc eur.</w:t>
      </w:r>
    </w:p>
    <w:p w14:paraId="2A369E23" w14:textId="77777777" w:rsidR="009C7801" w:rsidRPr="009C7801" w:rsidRDefault="009C7801" w:rsidP="009C7801">
      <w:pPr>
        <w:spacing w:after="120"/>
        <w:ind w:firstLine="284"/>
        <w:rPr>
          <w:rFonts w:ascii="Arial" w:hAnsi="Arial" w:cs="Arial"/>
          <w:bCs/>
        </w:rPr>
      </w:pPr>
      <w:r w:rsidRPr="009C7801">
        <w:rPr>
          <w:rFonts w:ascii="Arial" w:hAnsi="Arial" w:cs="Arial"/>
          <w:bCs/>
        </w:rPr>
        <w:t xml:space="preserve">Naopak, najvyššie priemerné zárobky v hrubom presahujúce 2,6 tisíca eur mali pracovníci vo finančných a poisťovacích firmách, ďalej v dodávke energií (elektriny, plynu a pary), a tiež podniky pôsobiace v informáciách a komunikácii. Nadpriemerné mzdy v porovnaní s celým hospodárstvom SR malo celkovo 9 odvetví. </w:t>
      </w:r>
    </w:p>
    <w:p w14:paraId="794E64F2" w14:textId="77777777" w:rsidR="009C7801" w:rsidRPr="009C7801" w:rsidRDefault="009C7801" w:rsidP="009C7801">
      <w:pPr>
        <w:spacing w:after="120"/>
        <w:ind w:firstLine="284"/>
        <w:rPr>
          <w:rFonts w:ascii="Arial" w:hAnsi="Arial" w:cs="Arial"/>
          <w:bCs/>
        </w:rPr>
      </w:pPr>
      <w:r w:rsidRPr="009C7801">
        <w:rPr>
          <w:rFonts w:ascii="Arial" w:hAnsi="Arial" w:cs="Arial"/>
          <w:bCs/>
        </w:rPr>
        <w:t xml:space="preserve">Medzi sektormi s najvyšším počtom zamestnancov počas roka 2025 si udržal vyššie tempo rastu priemysel. V priemysle mzdy nominálne stúpli o 6,3 % na 1 743 eur. Reálne zárobky zamestnancom v tomto odvetví vzrástli o 2,2 %. Obchod, ako druhý najväčší zamestnávateľ, </w:t>
      </w:r>
      <w:r w:rsidRPr="009C7801">
        <w:rPr>
          <w:rFonts w:ascii="Arial" w:hAnsi="Arial" w:cs="Arial"/>
          <w:bCs/>
        </w:rPr>
        <w:lastRenderedPageBreak/>
        <w:t>zaznamenal nárast priemernej mzdy o 6,2 % na 1 518 eur. Reálny rast 2,1 % bol však tesne pod celoslovenským priemerom.</w:t>
      </w:r>
    </w:p>
    <w:p w14:paraId="04CBDB88" w14:textId="77777777" w:rsidR="009C7801" w:rsidRPr="009C7801" w:rsidRDefault="009C7801" w:rsidP="009C7801">
      <w:pPr>
        <w:spacing w:after="120"/>
        <w:ind w:firstLine="284"/>
        <w:rPr>
          <w:rFonts w:ascii="Arial" w:hAnsi="Arial" w:cs="Arial"/>
          <w:bCs/>
        </w:rPr>
      </w:pPr>
      <w:r w:rsidRPr="009C7801">
        <w:rPr>
          <w:rFonts w:ascii="Arial" w:hAnsi="Arial" w:cs="Arial"/>
          <w:bCs/>
        </w:rPr>
        <w:t>Z hľadiska veľkosti podnikov došlo k najvýraznejšiemu nárast miezd v spoločnostiach so 250 až 499 zamestnancami, kde sa priemerná mzda v hrubom zvýšila o 7,4 % na 1 947 eur, reálny rast predstavoval 3,3 %. Druhé najvyššie tempo rastu zaznamenali podniky s viac ako 1 000 zamestnancami. V súhrne za celý rok 2025 u nich priemerná nominálna mzda stúpla o 7 % na 2 269 eur, pričom reálny rast dosiahol 2,9 %.</w:t>
      </w:r>
    </w:p>
    <w:p w14:paraId="0754F0C3" w14:textId="0811507A" w:rsidR="00080468" w:rsidRPr="00080468" w:rsidRDefault="009C7801" w:rsidP="009C7801">
      <w:pPr>
        <w:spacing w:after="120"/>
        <w:ind w:firstLine="284"/>
        <w:rPr>
          <w:rFonts w:ascii="Arial" w:hAnsi="Arial" w:cs="Arial"/>
          <w:bCs/>
        </w:rPr>
      </w:pPr>
      <w:r w:rsidRPr="009C7801">
        <w:rPr>
          <w:rFonts w:ascii="Arial" w:hAnsi="Arial" w:cs="Arial"/>
          <w:bCs/>
        </w:rPr>
        <w:t>Hoci zárobky postupne rastú vo všetkých regiónoch, rozdiely zostávajú značné. Najvyššie priemerné mzdy v súhrne za celý minulý rok boli v Bratislavskom kraji (1 949 eur), zatiaľ čo v ostatných regiónoch sa pohybovali od 1 285 eur v Prešovskom kraji do 1 522 eur v Trenčianskom kraji. Všetky kraje zaznamenali počas roka 2025 medziročne nominálny aj reálny rast zárobkov. Najvýraznejší rast evidoval Nitriansky kraj, kde nominálne mzdy stúpli v priemere o 9,1 % a reálne o 4,9 %. Rok predtým bol Nitriansky kraj na opačnom konci, s najpomalším tempom rastu spomedzi všetkých krajov SR.</w:t>
      </w:r>
    </w:p>
    <w:p w14:paraId="424D46DC" w14:textId="77777777" w:rsidR="007F29CE" w:rsidRPr="004C18C3" w:rsidRDefault="007F29CE" w:rsidP="007F29CE">
      <w:pPr>
        <w:tabs>
          <w:tab w:val="left" w:pos="426"/>
        </w:tabs>
        <w:rPr>
          <w:rFonts w:ascii="Arial" w:hAnsi="Arial" w:cs="Arial"/>
          <w:bCs/>
        </w:rPr>
      </w:pPr>
    </w:p>
    <w:p w14:paraId="6B4DB336" w14:textId="5A8E5818" w:rsidR="00F859F7" w:rsidRPr="00B47967" w:rsidRDefault="002E2F7C" w:rsidP="007F29CE">
      <w:pPr>
        <w:tabs>
          <w:tab w:val="left" w:pos="426"/>
        </w:tabs>
        <w:rPr>
          <w:rFonts w:ascii="Arial" w:hAnsi="Arial" w:cs="Arial"/>
          <w:b/>
          <w:szCs w:val="22"/>
        </w:rPr>
      </w:pPr>
      <w:r>
        <w:rPr>
          <w:rFonts w:ascii="Arial" w:hAnsi="Arial" w:cs="Arial"/>
          <w:bCs/>
          <w:color w:val="FF0000"/>
        </w:rPr>
        <w:br w:type="column"/>
      </w:r>
      <w:r w:rsidR="00F859F7" w:rsidRPr="00B47967">
        <w:rPr>
          <w:rFonts w:ascii="Arial" w:hAnsi="Arial" w:cs="Arial"/>
          <w:b/>
          <w:szCs w:val="22"/>
        </w:rPr>
        <w:lastRenderedPageBreak/>
        <w:t xml:space="preserve">5. METODICKÉ VYSVETLIVKY </w:t>
      </w:r>
    </w:p>
    <w:p w14:paraId="1EE10FD6" w14:textId="77777777" w:rsidR="00F859F7" w:rsidRPr="00C359FE" w:rsidRDefault="00F859F7" w:rsidP="00F859F7">
      <w:pPr>
        <w:tabs>
          <w:tab w:val="left" w:pos="426"/>
        </w:tabs>
        <w:rPr>
          <w:rFonts w:ascii="Arial" w:hAnsi="Arial" w:cs="Arial"/>
          <w:color w:val="FF0000"/>
          <w:szCs w:val="22"/>
        </w:rPr>
      </w:pPr>
    </w:p>
    <w:tbl>
      <w:tblPr>
        <w:tblW w:w="0" w:type="auto"/>
        <w:tblLayout w:type="fixed"/>
        <w:tblCellMar>
          <w:left w:w="71" w:type="dxa"/>
          <w:right w:w="71" w:type="dxa"/>
        </w:tblCellMar>
        <w:tblLook w:val="0000" w:firstRow="0" w:lastRow="0" w:firstColumn="0" w:lastColumn="0" w:noHBand="0" w:noVBand="0"/>
      </w:tblPr>
      <w:tblGrid>
        <w:gridCol w:w="284"/>
        <w:gridCol w:w="3189"/>
        <w:gridCol w:w="162"/>
        <w:gridCol w:w="257"/>
        <w:gridCol w:w="425"/>
        <w:gridCol w:w="4820"/>
        <w:gridCol w:w="26"/>
      </w:tblGrid>
      <w:tr w:rsidR="00F859F7" w:rsidRPr="003E32A2" w14:paraId="6A64A709" w14:textId="77777777" w:rsidTr="00D03395">
        <w:trPr>
          <w:gridAfter w:val="1"/>
          <w:wAfter w:w="26" w:type="dxa"/>
        </w:trPr>
        <w:tc>
          <w:tcPr>
            <w:tcW w:w="284" w:type="dxa"/>
            <w:tcBorders>
              <w:top w:val="nil"/>
              <w:left w:val="nil"/>
              <w:bottom w:val="nil"/>
              <w:right w:val="nil"/>
            </w:tcBorders>
          </w:tcPr>
          <w:p w14:paraId="3B2949E7" w14:textId="77777777" w:rsidR="00F859F7" w:rsidRPr="003E32A2" w:rsidRDefault="00F859F7" w:rsidP="00D03395">
            <w:pPr>
              <w:tabs>
                <w:tab w:val="left" w:pos="426"/>
              </w:tabs>
              <w:rPr>
                <w:rFonts w:ascii="Arial" w:hAnsi="Arial" w:cs="Arial"/>
                <w:sz w:val="18"/>
                <w:vertAlign w:val="superscript"/>
              </w:rPr>
            </w:pPr>
          </w:p>
        </w:tc>
        <w:tc>
          <w:tcPr>
            <w:tcW w:w="8853" w:type="dxa"/>
            <w:gridSpan w:val="5"/>
            <w:tcBorders>
              <w:top w:val="nil"/>
              <w:left w:val="nil"/>
              <w:bottom w:val="nil"/>
              <w:right w:val="nil"/>
            </w:tcBorders>
          </w:tcPr>
          <w:p w14:paraId="3A04EF7F" w14:textId="5E65A3DD" w:rsidR="00F859F7" w:rsidRPr="003E32A2" w:rsidRDefault="00F859F7" w:rsidP="00D03395">
            <w:pPr>
              <w:tabs>
                <w:tab w:val="left" w:pos="426"/>
              </w:tabs>
              <w:rPr>
                <w:rFonts w:ascii="Arial" w:hAnsi="Arial" w:cs="Arial"/>
                <w:sz w:val="20"/>
              </w:rPr>
            </w:pPr>
            <w:r w:rsidRPr="003E32A2">
              <w:rPr>
                <w:rFonts w:ascii="Arial" w:hAnsi="Arial" w:cs="Arial"/>
                <w:b/>
                <w:sz w:val="20"/>
              </w:rPr>
              <w:t>Názvy odvetví podľa Štatistickej klasifikácie ekonomických činností SK NACE Rev. 2, ktoré sú v tex</w:t>
            </w:r>
            <w:r w:rsidRPr="003E32A2">
              <w:rPr>
                <w:rFonts w:ascii="Arial" w:hAnsi="Arial" w:cs="Arial"/>
                <w:b/>
                <w:sz w:val="20"/>
              </w:rPr>
              <w:softHyphen/>
              <w:t>to</w:t>
            </w:r>
            <w:r w:rsidRPr="003E32A2">
              <w:rPr>
                <w:rFonts w:ascii="Arial" w:hAnsi="Arial" w:cs="Arial"/>
                <w:b/>
                <w:sz w:val="20"/>
              </w:rPr>
              <w:softHyphen/>
              <w:t>vej alebo tabuľkovej časti správy uvedené v skrátenej podobe</w:t>
            </w:r>
            <w:r w:rsidR="00DD479B">
              <w:rPr>
                <w:rFonts w:ascii="Arial" w:hAnsi="Arial" w:cs="Arial"/>
                <w:b/>
                <w:sz w:val="20"/>
              </w:rPr>
              <w:t xml:space="preserve"> </w:t>
            </w:r>
          </w:p>
        </w:tc>
      </w:tr>
      <w:tr w:rsidR="00F859F7" w:rsidRPr="003E32A2" w14:paraId="331E92DB" w14:textId="77777777" w:rsidTr="00D03395">
        <w:trPr>
          <w:gridAfter w:val="1"/>
          <w:wAfter w:w="26" w:type="dxa"/>
        </w:trPr>
        <w:tc>
          <w:tcPr>
            <w:tcW w:w="284" w:type="dxa"/>
            <w:tcBorders>
              <w:top w:val="nil"/>
              <w:left w:val="nil"/>
              <w:bottom w:val="nil"/>
              <w:right w:val="nil"/>
            </w:tcBorders>
          </w:tcPr>
          <w:p w14:paraId="3269048C" w14:textId="77777777" w:rsidR="00F859F7" w:rsidRPr="003E32A2" w:rsidRDefault="00F859F7" w:rsidP="00D03395">
            <w:pPr>
              <w:tabs>
                <w:tab w:val="left" w:pos="426"/>
              </w:tabs>
              <w:rPr>
                <w:rFonts w:ascii="Arial" w:hAnsi="Arial" w:cs="Arial"/>
                <w:sz w:val="18"/>
                <w:vertAlign w:val="superscript"/>
              </w:rPr>
            </w:pPr>
          </w:p>
        </w:tc>
        <w:tc>
          <w:tcPr>
            <w:tcW w:w="3608" w:type="dxa"/>
            <w:gridSpan w:val="3"/>
            <w:tcBorders>
              <w:top w:val="nil"/>
              <w:left w:val="nil"/>
              <w:bottom w:val="nil"/>
              <w:right w:val="nil"/>
            </w:tcBorders>
          </w:tcPr>
          <w:p w14:paraId="01E04781" w14:textId="77777777" w:rsidR="00F859F7" w:rsidRPr="003E32A2" w:rsidRDefault="00F859F7" w:rsidP="00D03395">
            <w:pPr>
              <w:tabs>
                <w:tab w:val="left" w:pos="426"/>
              </w:tabs>
              <w:rPr>
                <w:rFonts w:ascii="Arial" w:hAnsi="Arial" w:cs="Arial"/>
                <w:sz w:val="18"/>
              </w:rPr>
            </w:pPr>
          </w:p>
        </w:tc>
        <w:tc>
          <w:tcPr>
            <w:tcW w:w="425" w:type="dxa"/>
            <w:tcBorders>
              <w:top w:val="nil"/>
              <w:left w:val="nil"/>
              <w:bottom w:val="nil"/>
              <w:right w:val="nil"/>
            </w:tcBorders>
          </w:tcPr>
          <w:p w14:paraId="1423CEC5" w14:textId="77777777" w:rsidR="00F859F7" w:rsidRPr="003E32A2" w:rsidRDefault="00F859F7" w:rsidP="00D03395">
            <w:pPr>
              <w:tabs>
                <w:tab w:val="left" w:pos="426"/>
              </w:tabs>
              <w:rPr>
                <w:rFonts w:ascii="Arial" w:hAnsi="Arial" w:cs="Arial"/>
                <w:sz w:val="18"/>
              </w:rPr>
            </w:pPr>
          </w:p>
        </w:tc>
        <w:tc>
          <w:tcPr>
            <w:tcW w:w="4820" w:type="dxa"/>
            <w:tcBorders>
              <w:top w:val="nil"/>
              <w:left w:val="nil"/>
              <w:bottom w:val="nil"/>
              <w:right w:val="nil"/>
            </w:tcBorders>
          </w:tcPr>
          <w:p w14:paraId="3CC02A2B" w14:textId="77777777" w:rsidR="00F859F7" w:rsidRPr="003E32A2" w:rsidRDefault="00F859F7" w:rsidP="00D03395">
            <w:pPr>
              <w:tabs>
                <w:tab w:val="left" w:pos="426"/>
              </w:tabs>
              <w:rPr>
                <w:rFonts w:ascii="Arial" w:hAnsi="Arial" w:cs="Arial"/>
                <w:sz w:val="18"/>
              </w:rPr>
            </w:pPr>
          </w:p>
        </w:tc>
      </w:tr>
      <w:tr w:rsidR="00F859F7" w:rsidRPr="003E32A2" w14:paraId="197E6483" w14:textId="77777777" w:rsidTr="00D03395">
        <w:tc>
          <w:tcPr>
            <w:tcW w:w="284" w:type="dxa"/>
          </w:tcPr>
          <w:p w14:paraId="36F4B03A" w14:textId="77777777" w:rsidR="00F859F7" w:rsidRPr="003E32A2" w:rsidRDefault="00F859F7" w:rsidP="00D03395">
            <w:pPr>
              <w:tabs>
                <w:tab w:val="left" w:pos="426"/>
              </w:tabs>
              <w:rPr>
                <w:rFonts w:ascii="Arial" w:hAnsi="Arial" w:cs="Arial"/>
                <w:sz w:val="18"/>
                <w:vertAlign w:val="superscript"/>
              </w:rPr>
            </w:pPr>
          </w:p>
        </w:tc>
        <w:tc>
          <w:tcPr>
            <w:tcW w:w="3189" w:type="dxa"/>
          </w:tcPr>
          <w:p w14:paraId="641984A6" w14:textId="77777777" w:rsidR="00F859F7" w:rsidRPr="003E32A2" w:rsidRDefault="00F859F7" w:rsidP="00D03395">
            <w:pPr>
              <w:tabs>
                <w:tab w:val="left" w:pos="426"/>
              </w:tabs>
              <w:rPr>
                <w:rFonts w:ascii="Arial" w:hAnsi="Arial" w:cs="Arial"/>
                <w:b/>
                <w:sz w:val="18"/>
                <w:vertAlign w:val="superscript"/>
              </w:rPr>
            </w:pPr>
            <w:r w:rsidRPr="003E32A2">
              <w:rPr>
                <w:rFonts w:ascii="Arial" w:hAnsi="Arial" w:cs="Arial"/>
                <w:sz w:val="18"/>
                <w:u w:val="single"/>
              </w:rPr>
              <w:t>Skrátený názov</w:t>
            </w:r>
            <w:r w:rsidRPr="003E32A2">
              <w:rPr>
                <w:rFonts w:ascii="Arial" w:hAnsi="Arial" w:cs="Arial"/>
                <w:b/>
                <w:sz w:val="18"/>
              </w:rPr>
              <w:t xml:space="preserve"> </w:t>
            </w:r>
          </w:p>
        </w:tc>
        <w:tc>
          <w:tcPr>
            <w:tcW w:w="162" w:type="dxa"/>
          </w:tcPr>
          <w:p w14:paraId="4202BD81" w14:textId="77777777" w:rsidR="00F859F7" w:rsidRPr="003E32A2" w:rsidRDefault="00F859F7" w:rsidP="00D03395">
            <w:pPr>
              <w:tabs>
                <w:tab w:val="left" w:pos="426"/>
              </w:tabs>
              <w:rPr>
                <w:rFonts w:ascii="Arial" w:hAnsi="Arial" w:cs="Arial"/>
                <w:b/>
                <w:sz w:val="18"/>
              </w:rPr>
            </w:pPr>
          </w:p>
        </w:tc>
        <w:tc>
          <w:tcPr>
            <w:tcW w:w="5528" w:type="dxa"/>
            <w:gridSpan w:val="4"/>
          </w:tcPr>
          <w:p w14:paraId="7E2CD899" w14:textId="77777777" w:rsidR="00F859F7" w:rsidRPr="003E32A2" w:rsidRDefault="00F859F7" w:rsidP="00D03395">
            <w:pPr>
              <w:tabs>
                <w:tab w:val="left" w:pos="426"/>
              </w:tabs>
              <w:rPr>
                <w:rFonts w:ascii="Arial" w:hAnsi="Arial" w:cs="Arial"/>
                <w:b/>
                <w:sz w:val="18"/>
              </w:rPr>
            </w:pPr>
            <w:r w:rsidRPr="003E32A2">
              <w:rPr>
                <w:rFonts w:ascii="Arial" w:hAnsi="Arial" w:cs="Arial"/>
                <w:sz w:val="18"/>
                <w:u w:val="single"/>
              </w:rPr>
              <w:t>Úplný názov</w:t>
            </w:r>
          </w:p>
        </w:tc>
      </w:tr>
      <w:tr w:rsidR="00F859F7" w:rsidRPr="003E32A2" w14:paraId="4035096A" w14:textId="77777777" w:rsidTr="00D03395">
        <w:trPr>
          <w:trHeight w:hRule="exact" w:val="120"/>
        </w:trPr>
        <w:tc>
          <w:tcPr>
            <w:tcW w:w="284" w:type="dxa"/>
          </w:tcPr>
          <w:p w14:paraId="20E2C40B" w14:textId="77777777" w:rsidR="00F859F7" w:rsidRPr="003E32A2" w:rsidRDefault="00F859F7" w:rsidP="00D03395">
            <w:pPr>
              <w:tabs>
                <w:tab w:val="left" w:pos="426"/>
              </w:tabs>
              <w:rPr>
                <w:rFonts w:ascii="Arial" w:hAnsi="Arial" w:cs="Arial"/>
                <w:sz w:val="18"/>
                <w:vertAlign w:val="superscript"/>
              </w:rPr>
            </w:pPr>
          </w:p>
        </w:tc>
        <w:tc>
          <w:tcPr>
            <w:tcW w:w="3189" w:type="dxa"/>
          </w:tcPr>
          <w:p w14:paraId="3687944B" w14:textId="77777777" w:rsidR="00F859F7" w:rsidRPr="003E32A2" w:rsidRDefault="00F859F7" w:rsidP="00D03395">
            <w:pPr>
              <w:tabs>
                <w:tab w:val="left" w:pos="426"/>
              </w:tabs>
              <w:rPr>
                <w:rFonts w:ascii="Arial" w:hAnsi="Arial" w:cs="Arial"/>
                <w:sz w:val="18"/>
              </w:rPr>
            </w:pPr>
          </w:p>
        </w:tc>
        <w:tc>
          <w:tcPr>
            <w:tcW w:w="162" w:type="dxa"/>
          </w:tcPr>
          <w:p w14:paraId="0A50C0DD" w14:textId="77777777" w:rsidR="00F859F7" w:rsidRPr="003E32A2" w:rsidRDefault="00F859F7" w:rsidP="00D03395">
            <w:pPr>
              <w:tabs>
                <w:tab w:val="left" w:pos="426"/>
              </w:tabs>
              <w:rPr>
                <w:rFonts w:ascii="Arial" w:hAnsi="Arial" w:cs="Arial"/>
                <w:sz w:val="18"/>
              </w:rPr>
            </w:pPr>
          </w:p>
        </w:tc>
        <w:tc>
          <w:tcPr>
            <w:tcW w:w="5528" w:type="dxa"/>
            <w:gridSpan w:val="4"/>
          </w:tcPr>
          <w:p w14:paraId="570399ED"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 </w:t>
            </w:r>
          </w:p>
        </w:tc>
      </w:tr>
      <w:tr w:rsidR="00F859F7" w:rsidRPr="003E32A2" w14:paraId="17BF9C21" w14:textId="77777777" w:rsidTr="00D03395">
        <w:tc>
          <w:tcPr>
            <w:tcW w:w="284" w:type="dxa"/>
          </w:tcPr>
          <w:p w14:paraId="4DB70C10" w14:textId="77777777" w:rsidR="00F859F7" w:rsidRPr="003E32A2" w:rsidRDefault="00F859F7" w:rsidP="00D03395">
            <w:pPr>
              <w:tabs>
                <w:tab w:val="left" w:pos="426"/>
              </w:tabs>
              <w:rPr>
                <w:rFonts w:ascii="Arial" w:hAnsi="Arial" w:cs="Arial"/>
                <w:sz w:val="18"/>
                <w:vertAlign w:val="superscript"/>
              </w:rPr>
            </w:pPr>
          </w:p>
        </w:tc>
        <w:tc>
          <w:tcPr>
            <w:tcW w:w="3189" w:type="dxa"/>
          </w:tcPr>
          <w:p w14:paraId="02569284"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potravín </w:t>
            </w:r>
          </w:p>
        </w:tc>
        <w:tc>
          <w:tcPr>
            <w:tcW w:w="162" w:type="dxa"/>
          </w:tcPr>
          <w:p w14:paraId="4E3F771E" w14:textId="77777777" w:rsidR="00F859F7" w:rsidRPr="003E32A2" w:rsidRDefault="00F859F7" w:rsidP="00D03395">
            <w:pPr>
              <w:tabs>
                <w:tab w:val="left" w:pos="426"/>
              </w:tabs>
              <w:rPr>
                <w:rFonts w:ascii="Arial" w:hAnsi="Arial" w:cs="Arial"/>
                <w:sz w:val="18"/>
              </w:rPr>
            </w:pPr>
          </w:p>
        </w:tc>
        <w:tc>
          <w:tcPr>
            <w:tcW w:w="5528" w:type="dxa"/>
            <w:gridSpan w:val="4"/>
          </w:tcPr>
          <w:p w14:paraId="73C9975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potravín, nápojov a tabakových výrobkov (divízie 10 až 12)</w:t>
            </w:r>
          </w:p>
        </w:tc>
      </w:tr>
      <w:tr w:rsidR="00F859F7" w:rsidRPr="003E32A2" w14:paraId="0CE420EB" w14:textId="77777777" w:rsidTr="00D03395">
        <w:tc>
          <w:tcPr>
            <w:tcW w:w="284" w:type="dxa"/>
          </w:tcPr>
          <w:p w14:paraId="2CD56865" w14:textId="77777777" w:rsidR="00F859F7" w:rsidRPr="003E32A2" w:rsidRDefault="00F859F7" w:rsidP="00D03395">
            <w:pPr>
              <w:tabs>
                <w:tab w:val="left" w:pos="426"/>
              </w:tabs>
              <w:rPr>
                <w:rFonts w:ascii="Arial" w:hAnsi="Arial" w:cs="Arial"/>
                <w:sz w:val="18"/>
                <w:vertAlign w:val="superscript"/>
              </w:rPr>
            </w:pPr>
          </w:p>
        </w:tc>
        <w:tc>
          <w:tcPr>
            <w:tcW w:w="3189" w:type="dxa"/>
          </w:tcPr>
          <w:p w14:paraId="1212AC5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textilu a kože</w:t>
            </w:r>
          </w:p>
        </w:tc>
        <w:tc>
          <w:tcPr>
            <w:tcW w:w="162" w:type="dxa"/>
          </w:tcPr>
          <w:p w14:paraId="7169F0D9" w14:textId="77777777" w:rsidR="00F859F7" w:rsidRPr="003E32A2" w:rsidRDefault="00F859F7" w:rsidP="00D03395">
            <w:pPr>
              <w:tabs>
                <w:tab w:val="left" w:pos="426"/>
              </w:tabs>
              <w:rPr>
                <w:rFonts w:ascii="Arial" w:hAnsi="Arial" w:cs="Arial"/>
                <w:sz w:val="18"/>
              </w:rPr>
            </w:pPr>
          </w:p>
        </w:tc>
        <w:tc>
          <w:tcPr>
            <w:tcW w:w="5528" w:type="dxa"/>
            <w:gridSpan w:val="4"/>
          </w:tcPr>
          <w:p w14:paraId="0849A8FA"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textilu, odevov, kože a kožených výrobkov (13 až 15)</w:t>
            </w:r>
          </w:p>
        </w:tc>
      </w:tr>
      <w:tr w:rsidR="00F859F7" w:rsidRPr="003E32A2" w14:paraId="4089BE89" w14:textId="77777777" w:rsidTr="00D03395">
        <w:tc>
          <w:tcPr>
            <w:tcW w:w="284" w:type="dxa"/>
          </w:tcPr>
          <w:p w14:paraId="26CF7D49" w14:textId="77777777" w:rsidR="00F859F7" w:rsidRPr="003E32A2" w:rsidRDefault="00F859F7" w:rsidP="00D03395">
            <w:pPr>
              <w:tabs>
                <w:tab w:val="left" w:pos="426"/>
              </w:tabs>
              <w:rPr>
                <w:rFonts w:ascii="Arial" w:hAnsi="Arial" w:cs="Arial"/>
                <w:sz w:val="18"/>
                <w:vertAlign w:val="superscript"/>
              </w:rPr>
            </w:pPr>
          </w:p>
        </w:tc>
        <w:tc>
          <w:tcPr>
            <w:tcW w:w="3189" w:type="dxa"/>
          </w:tcPr>
          <w:p w14:paraId="01062FEB"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drevených výrobkov</w:t>
            </w:r>
          </w:p>
        </w:tc>
        <w:tc>
          <w:tcPr>
            <w:tcW w:w="162" w:type="dxa"/>
          </w:tcPr>
          <w:p w14:paraId="6568E80A" w14:textId="77777777" w:rsidR="00F859F7" w:rsidRPr="003E32A2" w:rsidRDefault="00F859F7" w:rsidP="00D03395">
            <w:pPr>
              <w:tabs>
                <w:tab w:val="left" w:pos="426"/>
              </w:tabs>
              <w:rPr>
                <w:rFonts w:ascii="Arial" w:hAnsi="Arial" w:cs="Arial"/>
                <w:sz w:val="18"/>
              </w:rPr>
            </w:pPr>
          </w:p>
        </w:tc>
        <w:tc>
          <w:tcPr>
            <w:tcW w:w="5528" w:type="dxa"/>
            <w:gridSpan w:val="4"/>
          </w:tcPr>
          <w:p w14:paraId="049AC52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drevených a papierových výrobkov, tlač (16 až 18)</w:t>
            </w:r>
          </w:p>
        </w:tc>
      </w:tr>
      <w:tr w:rsidR="00F859F7" w:rsidRPr="003E32A2" w14:paraId="33CC7291" w14:textId="77777777" w:rsidTr="00D03395">
        <w:tc>
          <w:tcPr>
            <w:tcW w:w="284" w:type="dxa"/>
          </w:tcPr>
          <w:p w14:paraId="7F5F5A0B" w14:textId="77777777" w:rsidR="00F859F7" w:rsidRPr="003E32A2" w:rsidRDefault="00F859F7" w:rsidP="00D03395">
            <w:pPr>
              <w:tabs>
                <w:tab w:val="left" w:pos="426"/>
              </w:tabs>
              <w:rPr>
                <w:rFonts w:ascii="Arial" w:hAnsi="Arial" w:cs="Arial"/>
                <w:sz w:val="18"/>
                <w:vertAlign w:val="superscript"/>
              </w:rPr>
            </w:pPr>
          </w:p>
        </w:tc>
        <w:tc>
          <w:tcPr>
            <w:tcW w:w="3189" w:type="dxa"/>
          </w:tcPr>
          <w:p w14:paraId="080E54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koksu a ropných </w:t>
            </w:r>
          </w:p>
          <w:p w14:paraId="28D6343A" w14:textId="77777777" w:rsidR="00F859F7" w:rsidRPr="003E32A2" w:rsidRDefault="00F859F7" w:rsidP="00D03395">
            <w:pPr>
              <w:tabs>
                <w:tab w:val="left" w:pos="426"/>
              </w:tabs>
              <w:rPr>
                <w:rFonts w:ascii="Arial" w:hAnsi="Arial" w:cs="Arial"/>
                <w:sz w:val="18"/>
              </w:rPr>
            </w:pPr>
            <w:r w:rsidRPr="003E32A2">
              <w:rPr>
                <w:rFonts w:ascii="Arial" w:hAnsi="Arial" w:cs="Arial"/>
                <w:sz w:val="18"/>
              </w:rPr>
              <w:t>produk</w:t>
            </w:r>
            <w:r w:rsidRPr="003E32A2">
              <w:rPr>
                <w:rFonts w:ascii="Arial" w:hAnsi="Arial" w:cs="Arial"/>
                <w:sz w:val="18"/>
              </w:rPr>
              <w:softHyphen/>
              <w:t xml:space="preserve">tov </w:t>
            </w:r>
          </w:p>
        </w:tc>
        <w:tc>
          <w:tcPr>
            <w:tcW w:w="162" w:type="dxa"/>
          </w:tcPr>
          <w:p w14:paraId="3C9E4CD1" w14:textId="77777777" w:rsidR="00F859F7" w:rsidRPr="003E32A2" w:rsidRDefault="00F859F7" w:rsidP="00D03395">
            <w:pPr>
              <w:tabs>
                <w:tab w:val="left" w:pos="426"/>
              </w:tabs>
              <w:rPr>
                <w:rFonts w:ascii="Arial" w:hAnsi="Arial" w:cs="Arial"/>
                <w:sz w:val="18"/>
              </w:rPr>
            </w:pPr>
          </w:p>
        </w:tc>
        <w:tc>
          <w:tcPr>
            <w:tcW w:w="5528" w:type="dxa"/>
            <w:gridSpan w:val="4"/>
          </w:tcPr>
          <w:p w14:paraId="1FF5CD29"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koksu a rafinovaných ropných produktov (19)</w:t>
            </w:r>
          </w:p>
        </w:tc>
      </w:tr>
      <w:tr w:rsidR="00F859F7" w:rsidRPr="003E32A2" w14:paraId="13CCD583" w14:textId="77777777" w:rsidTr="00D03395">
        <w:tc>
          <w:tcPr>
            <w:tcW w:w="284" w:type="dxa"/>
          </w:tcPr>
          <w:p w14:paraId="4553E1E4" w14:textId="77777777" w:rsidR="00F859F7" w:rsidRPr="003E32A2" w:rsidRDefault="00F859F7" w:rsidP="00D03395">
            <w:pPr>
              <w:tabs>
                <w:tab w:val="left" w:pos="426"/>
              </w:tabs>
              <w:rPr>
                <w:rFonts w:ascii="Arial" w:hAnsi="Arial" w:cs="Arial"/>
                <w:sz w:val="18"/>
                <w:vertAlign w:val="superscript"/>
              </w:rPr>
            </w:pPr>
          </w:p>
        </w:tc>
        <w:tc>
          <w:tcPr>
            <w:tcW w:w="3189" w:type="dxa"/>
          </w:tcPr>
          <w:p w14:paraId="3E0DD107"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chemikálií</w:t>
            </w:r>
          </w:p>
        </w:tc>
        <w:tc>
          <w:tcPr>
            <w:tcW w:w="162" w:type="dxa"/>
          </w:tcPr>
          <w:p w14:paraId="3318D448" w14:textId="77777777" w:rsidR="00F859F7" w:rsidRPr="003E32A2" w:rsidRDefault="00F859F7" w:rsidP="00D03395">
            <w:pPr>
              <w:tabs>
                <w:tab w:val="left" w:pos="426"/>
              </w:tabs>
              <w:rPr>
                <w:rFonts w:ascii="Arial" w:hAnsi="Arial" w:cs="Arial"/>
                <w:sz w:val="18"/>
              </w:rPr>
            </w:pPr>
          </w:p>
        </w:tc>
        <w:tc>
          <w:tcPr>
            <w:tcW w:w="5528" w:type="dxa"/>
            <w:gridSpan w:val="4"/>
          </w:tcPr>
          <w:p w14:paraId="5A94A6B8"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chemikálií a chemických produktov (20)</w:t>
            </w:r>
          </w:p>
        </w:tc>
      </w:tr>
      <w:tr w:rsidR="00F859F7" w:rsidRPr="003E32A2" w14:paraId="1BF69D44" w14:textId="77777777" w:rsidTr="00D03395">
        <w:tc>
          <w:tcPr>
            <w:tcW w:w="284" w:type="dxa"/>
          </w:tcPr>
          <w:p w14:paraId="3427AEF3" w14:textId="77777777" w:rsidR="00F859F7" w:rsidRPr="003E32A2" w:rsidRDefault="00F859F7" w:rsidP="00D03395">
            <w:pPr>
              <w:tabs>
                <w:tab w:val="left" w:pos="426"/>
              </w:tabs>
              <w:rPr>
                <w:rFonts w:ascii="Arial" w:hAnsi="Arial" w:cs="Arial"/>
                <w:sz w:val="18"/>
                <w:vertAlign w:val="superscript"/>
              </w:rPr>
            </w:pPr>
          </w:p>
        </w:tc>
        <w:tc>
          <w:tcPr>
            <w:tcW w:w="3189" w:type="dxa"/>
          </w:tcPr>
          <w:p w14:paraId="716F6822"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farmaceutických výrob</w:t>
            </w:r>
            <w:r w:rsidRPr="003E32A2">
              <w:rPr>
                <w:rFonts w:ascii="Arial" w:hAnsi="Arial" w:cs="Arial"/>
                <w:sz w:val="18"/>
              </w:rPr>
              <w:softHyphen/>
              <w:t>kov</w:t>
            </w:r>
          </w:p>
        </w:tc>
        <w:tc>
          <w:tcPr>
            <w:tcW w:w="162" w:type="dxa"/>
          </w:tcPr>
          <w:p w14:paraId="59FAC19B" w14:textId="77777777" w:rsidR="00F859F7" w:rsidRPr="003E32A2" w:rsidRDefault="00F859F7" w:rsidP="00D03395">
            <w:pPr>
              <w:tabs>
                <w:tab w:val="left" w:pos="426"/>
              </w:tabs>
              <w:rPr>
                <w:rFonts w:ascii="Arial" w:hAnsi="Arial" w:cs="Arial"/>
                <w:sz w:val="18"/>
              </w:rPr>
            </w:pPr>
          </w:p>
        </w:tc>
        <w:tc>
          <w:tcPr>
            <w:tcW w:w="5528" w:type="dxa"/>
            <w:gridSpan w:val="4"/>
          </w:tcPr>
          <w:p w14:paraId="03E24ED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základných farmaceutických výrobkov a farmaceutických prípravkov (21)</w:t>
            </w:r>
          </w:p>
        </w:tc>
      </w:tr>
      <w:tr w:rsidR="00F859F7" w:rsidRPr="003E32A2" w14:paraId="09AFF220" w14:textId="77777777" w:rsidTr="00D03395">
        <w:tc>
          <w:tcPr>
            <w:tcW w:w="284" w:type="dxa"/>
          </w:tcPr>
          <w:p w14:paraId="5EFBFE69" w14:textId="77777777" w:rsidR="00F859F7" w:rsidRPr="003E32A2" w:rsidRDefault="00F859F7" w:rsidP="00D03395">
            <w:pPr>
              <w:tabs>
                <w:tab w:val="left" w:pos="426"/>
              </w:tabs>
              <w:rPr>
                <w:rFonts w:ascii="Arial" w:hAnsi="Arial" w:cs="Arial"/>
                <w:sz w:val="18"/>
                <w:vertAlign w:val="superscript"/>
              </w:rPr>
            </w:pPr>
          </w:p>
        </w:tc>
        <w:tc>
          <w:tcPr>
            <w:tcW w:w="3189" w:type="dxa"/>
          </w:tcPr>
          <w:p w14:paraId="045BF1A4"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výrobkov z gumy a plastu</w:t>
            </w:r>
          </w:p>
        </w:tc>
        <w:tc>
          <w:tcPr>
            <w:tcW w:w="162" w:type="dxa"/>
          </w:tcPr>
          <w:p w14:paraId="5651DED8" w14:textId="77777777" w:rsidR="00F859F7" w:rsidRPr="003E32A2" w:rsidRDefault="00F859F7" w:rsidP="00D03395">
            <w:pPr>
              <w:tabs>
                <w:tab w:val="left" w:pos="426"/>
              </w:tabs>
              <w:rPr>
                <w:rFonts w:ascii="Arial" w:hAnsi="Arial" w:cs="Arial"/>
                <w:sz w:val="18"/>
              </w:rPr>
            </w:pPr>
          </w:p>
        </w:tc>
        <w:tc>
          <w:tcPr>
            <w:tcW w:w="5528" w:type="dxa"/>
            <w:gridSpan w:val="4"/>
          </w:tcPr>
          <w:p w14:paraId="1DDEDC2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výrobkov z gumy, plastu a ostatných nekovových mine</w:t>
            </w:r>
            <w:r w:rsidRPr="003E32A2">
              <w:rPr>
                <w:rFonts w:ascii="Arial" w:hAnsi="Arial" w:cs="Arial"/>
                <w:sz w:val="18"/>
              </w:rPr>
              <w:softHyphen/>
              <w:t>rál</w:t>
            </w:r>
            <w:r w:rsidRPr="003E32A2">
              <w:rPr>
                <w:rFonts w:ascii="Arial" w:hAnsi="Arial" w:cs="Arial"/>
                <w:sz w:val="18"/>
              </w:rPr>
              <w:softHyphen/>
              <w:t>nych výrobkov (22,23)</w:t>
            </w:r>
          </w:p>
        </w:tc>
      </w:tr>
      <w:tr w:rsidR="00F859F7" w:rsidRPr="003E32A2" w14:paraId="2CE8297C" w14:textId="77777777" w:rsidTr="00D03395">
        <w:tc>
          <w:tcPr>
            <w:tcW w:w="284" w:type="dxa"/>
          </w:tcPr>
          <w:p w14:paraId="3DE86D13" w14:textId="77777777" w:rsidR="00F859F7" w:rsidRPr="003E32A2" w:rsidRDefault="00F859F7" w:rsidP="00D03395">
            <w:pPr>
              <w:tabs>
                <w:tab w:val="left" w:pos="426"/>
              </w:tabs>
              <w:rPr>
                <w:rFonts w:ascii="Arial" w:hAnsi="Arial" w:cs="Arial"/>
                <w:sz w:val="18"/>
                <w:vertAlign w:val="superscript"/>
              </w:rPr>
            </w:pPr>
          </w:p>
        </w:tc>
        <w:tc>
          <w:tcPr>
            <w:tcW w:w="3189" w:type="dxa"/>
          </w:tcPr>
          <w:p w14:paraId="18AD3544"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kovov </w:t>
            </w:r>
          </w:p>
        </w:tc>
        <w:tc>
          <w:tcPr>
            <w:tcW w:w="162" w:type="dxa"/>
          </w:tcPr>
          <w:p w14:paraId="47E1307E" w14:textId="77777777" w:rsidR="00F859F7" w:rsidRPr="003E32A2" w:rsidRDefault="00F859F7" w:rsidP="00D03395">
            <w:pPr>
              <w:tabs>
                <w:tab w:val="left" w:pos="426"/>
              </w:tabs>
              <w:rPr>
                <w:rFonts w:ascii="Arial" w:hAnsi="Arial" w:cs="Arial"/>
                <w:sz w:val="18"/>
              </w:rPr>
            </w:pPr>
          </w:p>
        </w:tc>
        <w:tc>
          <w:tcPr>
            <w:tcW w:w="5528" w:type="dxa"/>
            <w:gridSpan w:val="4"/>
          </w:tcPr>
          <w:p w14:paraId="250E33DB"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kovov a kovových konštrukcií okrem strojov a zariadení (24,25)</w:t>
            </w:r>
          </w:p>
        </w:tc>
      </w:tr>
      <w:tr w:rsidR="00F859F7" w:rsidRPr="003E32A2" w14:paraId="75206B91" w14:textId="77777777" w:rsidTr="00D03395">
        <w:tc>
          <w:tcPr>
            <w:tcW w:w="284" w:type="dxa"/>
          </w:tcPr>
          <w:p w14:paraId="618C341D" w14:textId="77777777" w:rsidR="00F859F7" w:rsidRPr="003E32A2" w:rsidRDefault="00F859F7" w:rsidP="00D03395">
            <w:pPr>
              <w:tabs>
                <w:tab w:val="left" w:pos="426"/>
              </w:tabs>
              <w:rPr>
                <w:rFonts w:ascii="Arial" w:hAnsi="Arial" w:cs="Arial"/>
                <w:sz w:val="18"/>
                <w:vertAlign w:val="superscript"/>
              </w:rPr>
            </w:pPr>
          </w:p>
        </w:tc>
        <w:tc>
          <w:tcPr>
            <w:tcW w:w="3189" w:type="dxa"/>
          </w:tcPr>
          <w:p w14:paraId="5AB833F8"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počítačových výrobkov</w:t>
            </w:r>
          </w:p>
        </w:tc>
        <w:tc>
          <w:tcPr>
            <w:tcW w:w="162" w:type="dxa"/>
          </w:tcPr>
          <w:p w14:paraId="67AE9F76" w14:textId="77777777" w:rsidR="00F859F7" w:rsidRPr="003E32A2" w:rsidRDefault="00F859F7" w:rsidP="00D03395">
            <w:pPr>
              <w:tabs>
                <w:tab w:val="left" w:pos="426"/>
              </w:tabs>
              <w:rPr>
                <w:rFonts w:ascii="Arial" w:hAnsi="Arial" w:cs="Arial"/>
                <w:sz w:val="18"/>
              </w:rPr>
            </w:pPr>
          </w:p>
        </w:tc>
        <w:tc>
          <w:tcPr>
            <w:tcW w:w="5528" w:type="dxa"/>
            <w:gridSpan w:val="4"/>
          </w:tcPr>
          <w:p w14:paraId="31286110"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počítačových, elektronických a optických výrobkov (26)</w:t>
            </w:r>
          </w:p>
        </w:tc>
      </w:tr>
      <w:tr w:rsidR="00F859F7" w:rsidRPr="003E32A2" w14:paraId="4C094AD2" w14:textId="77777777" w:rsidTr="00D03395">
        <w:tc>
          <w:tcPr>
            <w:tcW w:w="284" w:type="dxa"/>
          </w:tcPr>
          <w:p w14:paraId="77CB81D3" w14:textId="77777777" w:rsidR="00F859F7" w:rsidRPr="003E32A2" w:rsidRDefault="00F859F7" w:rsidP="00D03395">
            <w:pPr>
              <w:tabs>
                <w:tab w:val="left" w:pos="426"/>
              </w:tabs>
              <w:rPr>
                <w:rFonts w:ascii="Arial" w:hAnsi="Arial" w:cs="Arial"/>
                <w:sz w:val="18"/>
                <w:vertAlign w:val="superscript"/>
              </w:rPr>
            </w:pPr>
          </w:p>
        </w:tc>
        <w:tc>
          <w:tcPr>
            <w:tcW w:w="3189" w:type="dxa"/>
          </w:tcPr>
          <w:p w14:paraId="5540681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elektrických zariadení</w:t>
            </w:r>
          </w:p>
          <w:p w14:paraId="22E5747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strojov a zariadení</w:t>
            </w:r>
          </w:p>
        </w:tc>
        <w:tc>
          <w:tcPr>
            <w:tcW w:w="162" w:type="dxa"/>
          </w:tcPr>
          <w:p w14:paraId="57B1278F" w14:textId="77777777" w:rsidR="00F859F7" w:rsidRPr="003E32A2" w:rsidRDefault="00F859F7" w:rsidP="00D03395">
            <w:pPr>
              <w:tabs>
                <w:tab w:val="left" w:pos="426"/>
              </w:tabs>
              <w:rPr>
                <w:rFonts w:ascii="Arial" w:hAnsi="Arial" w:cs="Arial"/>
                <w:sz w:val="18"/>
              </w:rPr>
            </w:pPr>
          </w:p>
        </w:tc>
        <w:tc>
          <w:tcPr>
            <w:tcW w:w="5528" w:type="dxa"/>
            <w:gridSpan w:val="4"/>
          </w:tcPr>
          <w:p w14:paraId="4247733D" w14:textId="14ACAE4A" w:rsidR="00F859F7" w:rsidRPr="003E32A2" w:rsidRDefault="00F859F7" w:rsidP="00D03395">
            <w:pPr>
              <w:tabs>
                <w:tab w:val="left" w:pos="426"/>
              </w:tabs>
              <w:rPr>
                <w:rFonts w:ascii="Arial" w:hAnsi="Arial" w:cs="Arial"/>
                <w:sz w:val="18"/>
              </w:rPr>
            </w:pPr>
            <w:r w:rsidRPr="003E32A2">
              <w:rPr>
                <w:rFonts w:ascii="Arial" w:hAnsi="Arial" w:cs="Arial"/>
                <w:sz w:val="18"/>
              </w:rPr>
              <w:t>Výroba elektrických zariadení</w:t>
            </w:r>
            <w:r w:rsidR="00DD479B">
              <w:rPr>
                <w:rFonts w:ascii="Arial" w:hAnsi="Arial" w:cs="Arial"/>
                <w:sz w:val="18"/>
              </w:rPr>
              <w:t xml:space="preserve"> </w:t>
            </w:r>
            <w:r w:rsidRPr="003E32A2">
              <w:rPr>
                <w:rFonts w:ascii="Arial" w:hAnsi="Arial" w:cs="Arial"/>
                <w:sz w:val="18"/>
              </w:rPr>
              <w:t>(27)</w:t>
            </w:r>
          </w:p>
          <w:p w14:paraId="4A1CC047"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strojov a zariadení inde neklasifikovaných (28)</w:t>
            </w:r>
          </w:p>
        </w:tc>
      </w:tr>
      <w:tr w:rsidR="00F859F7" w:rsidRPr="003E32A2" w14:paraId="5796FB83" w14:textId="77777777" w:rsidTr="00D03395">
        <w:tc>
          <w:tcPr>
            <w:tcW w:w="284" w:type="dxa"/>
          </w:tcPr>
          <w:p w14:paraId="1B882AC4" w14:textId="77777777" w:rsidR="00F859F7" w:rsidRPr="003E32A2" w:rsidRDefault="00F859F7" w:rsidP="00D03395">
            <w:pPr>
              <w:tabs>
                <w:tab w:val="left" w:pos="426"/>
              </w:tabs>
              <w:rPr>
                <w:rFonts w:ascii="Arial" w:hAnsi="Arial" w:cs="Arial"/>
                <w:sz w:val="18"/>
                <w:vertAlign w:val="superscript"/>
              </w:rPr>
            </w:pPr>
          </w:p>
        </w:tc>
        <w:tc>
          <w:tcPr>
            <w:tcW w:w="3189" w:type="dxa"/>
          </w:tcPr>
          <w:p w14:paraId="51DD57D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dopravných prostriedkov</w:t>
            </w:r>
          </w:p>
        </w:tc>
        <w:tc>
          <w:tcPr>
            <w:tcW w:w="162" w:type="dxa"/>
          </w:tcPr>
          <w:p w14:paraId="337F2374" w14:textId="77777777" w:rsidR="00F859F7" w:rsidRPr="003E32A2" w:rsidRDefault="00F859F7" w:rsidP="00D03395">
            <w:pPr>
              <w:tabs>
                <w:tab w:val="left" w:pos="426"/>
              </w:tabs>
              <w:rPr>
                <w:rFonts w:ascii="Arial" w:hAnsi="Arial" w:cs="Arial"/>
                <w:sz w:val="18"/>
              </w:rPr>
            </w:pPr>
          </w:p>
        </w:tc>
        <w:tc>
          <w:tcPr>
            <w:tcW w:w="5528" w:type="dxa"/>
            <w:gridSpan w:val="4"/>
          </w:tcPr>
          <w:p w14:paraId="2F7FDEE6"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dopravných prostriedkov (29 až 30)</w:t>
            </w:r>
          </w:p>
        </w:tc>
      </w:tr>
      <w:tr w:rsidR="00F859F7" w:rsidRPr="003E32A2" w14:paraId="2B6B895D" w14:textId="77777777" w:rsidTr="00D03395">
        <w:tc>
          <w:tcPr>
            <w:tcW w:w="284" w:type="dxa"/>
          </w:tcPr>
          <w:p w14:paraId="563BC840" w14:textId="77777777" w:rsidR="00F859F7" w:rsidRPr="003E32A2" w:rsidRDefault="00F859F7" w:rsidP="00D03395">
            <w:pPr>
              <w:tabs>
                <w:tab w:val="left" w:pos="426"/>
              </w:tabs>
              <w:rPr>
                <w:rFonts w:ascii="Arial" w:hAnsi="Arial" w:cs="Arial"/>
                <w:sz w:val="18"/>
                <w:vertAlign w:val="superscript"/>
              </w:rPr>
            </w:pPr>
          </w:p>
        </w:tc>
        <w:tc>
          <w:tcPr>
            <w:tcW w:w="3189" w:type="dxa"/>
          </w:tcPr>
          <w:p w14:paraId="4E7E1C29" w14:textId="77777777" w:rsidR="00F859F7" w:rsidRPr="003E32A2" w:rsidRDefault="00F859F7" w:rsidP="00D03395">
            <w:pPr>
              <w:tabs>
                <w:tab w:val="left" w:pos="426"/>
              </w:tabs>
              <w:rPr>
                <w:rFonts w:ascii="Arial" w:hAnsi="Arial" w:cs="Arial"/>
                <w:sz w:val="18"/>
              </w:rPr>
            </w:pPr>
            <w:r w:rsidRPr="003E32A2">
              <w:rPr>
                <w:rFonts w:ascii="Arial" w:hAnsi="Arial" w:cs="Arial"/>
                <w:sz w:val="18"/>
              </w:rPr>
              <w:t>Ostatná výroba</w:t>
            </w:r>
          </w:p>
        </w:tc>
        <w:tc>
          <w:tcPr>
            <w:tcW w:w="162" w:type="dxa"/>
          </w:tcPr>
          <w:p w14:paraId="570B33B9" w14:textId="77777777" w:rsidR="00F859F7" w:rsidRPr="003E32A2" w:rsidRDefault="00F859F7" w:rsidP="00D03395">
            <w:pPr>
              <w:tabs>
                <w:tab w:val="left" w:pos="426"/>
              </w:tabs>
              <w:rPr>
                <w:rFonts w:ascii="Arial" w:hAnsi="Arial" w:cs="Arial"/>
                <w:sz w:val="18"/>
              </w:rPr>
            </w:pPr>
          </w:p>
        </w:tc>
        <w:tc>
          <w:tcPr>
            <w:tcW w:w="5528" w:type="dxa"/>
            <w:gridSpan w:val="4"/>
          </w:tcPr>
          <w:p w14:paraId="63CC3073" w14:textId="77777777" w:rsidR="00F859F7" w:rsidRPr="003E32A2" w:rsidRDefault="00F859F7" w:rsidP="00D03395">
            <w:pPr>
              <w:tabs>
                <w:tab w:val="left" w:pos="426"/>
              </w:tabs>
              <w:rPr>
                <w:rFonts w:ascii="Arial" w:hAnsi="Arial" w:cs="Arial"/>
                <w:sz w:val="18"/>
              </w:rPr>
            </w:pPr>
            <w:r w:rsidRPr="003E32A2">
              <w:rPr>
                <w:rFonts w:ascii="Arial" w:hAnsi="Arial" w:cs="Arial"/>
                <w:sz w:val="18"/>
              </w:rPr>
              <w:t>Ostatná výroba, oprava a inštalácia strojov a zariadení (31 až 33)</w:t>
            </w:r>
          </w:p>
        </w:tc>
      </w:tr>
      <w:tr w:rsidR="00F859F7" w:rsidRPr="003E32A2" w14:paraId="1963C19A" w14:textId="77777777" w:rsidTr="00D03395">
        <w:tc>
          <w:tcPr>
            <w:tcW w:w="284" w:type="dxa"/>
          </w:tcPr>
          <w:p w14:paraId="5781899A" w14:textId="77777777" w:rsidR="00F859F7" w:rsidRPr="003E32A2" w:rsidRDefault="00F859F7" w:rsidP="00D03395">
            <w:pPr>
              <w:tabs>
                <w:tab w:val="left" w:pos="426"/>
              </w:tabs>
              <w:rPr>
                <w:rFonts w:ascii="Arial" w:hAnsi="Arial" w:cs="Arial"/>
                <w:sz w:val="18"/>
                <w:vertAlign w:val="superscript"/>
              </w:rPr>
            </w:pPr>
          </w:p>
        </w:tc>
        <w:tc>
          <w:tcPr>
            <w:tcW w:w="3189" w:type="dxa"/>
          </w:tcPr>
          <w:p w14:paraId="1F88CA77"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elektriny a plynu</w:t>
            </w:r>
          </w:p>
        </w:tc>
        <w:tc>
          <w:tcPr>
            <w:tcW w:w="162" w:type="dxa"/>
          </w:tcPr>
          <w:p w14:paraId="5DCBF1D3" w14:textId="77777777" w:rsidR="00F859F7" w:rsidRPr="003E32A2" w:rsidRDefault="00F859F7" w:rsidP="00D03395">
            <w:pPr>
              <w:tabs>
                <w:tab w:val="left" w:pos="426"/>
              </w:tabs>
              <w:rPr>
                <w:rFonts w:ascii="Arial" w:hAnsi="Arial" w:cs="Arial"/>
                <w:sz w:val="18"/>
              </w:rPr>
            </w:pPr>
          </w:p>
        </w:tc>
        <w:tc>
          <w:tcPr>
            <w:tcW w:w="5528" w:type="dxa"/>
            <w:gridSpan w:val="4"/>
          </w:tcPr>
          <w:p w14:paraId="74090723"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elektriny, plynu, pary a studeného vzduchu (35)</w:t>
            </w:r>
          </w:p>
        </w:tc>
      </w:tr>
      <w:tr w:rsidR="00F859F7" w:rsidRPr="003E32A2" w14:paraId="2B6974F3" w14:textId="77777777" w:rsidTr="00D03395">
        <w:tc>
          <w:tcPr>
            <w:tcW w:w="284" w:type="dxa"/>
          </w:tcPr>
          <w:p w14:paraId="2306FC66" w14:textId="77777777" w:rsidR="00F859F7" w:rsidRPr="003E32A2" w:rsidRDefault="00F859F7" w:rsidP="00D03395">
            <w:pPr>
              <w:tabs>
                <w:tab w:val="left" w:pos="426"/>
              </w:tabs>
              <w:rPr>
                <w:rFonts w:ascii="Arial" w:hAnsi="Arial" w:cs="Arial"/>
                <w:sz w:val="18"/>
                <w:vertAlign w:val="superscript"/>
              </w:rPr>
            </w:pPr>
          </w:p>
        </w:tc>
        <w:tc>
          <w:tcPr>
            <w:tcW w:w="3189" w:type="dxa"/>
          </w:tcPr>
          <w:p w14:paraId="5E0DAB85"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vody a odpady</w:t>
            </w:r>
          </w:p>
        </w:tc>
        <w:tc>
          <w:tcPr>
            <w:tcW w:w="162" w:type="dxa"/>
          </w:tcPr>
          <w:p w14:paraId="4D79FEAF" w14:textId="77777777" w:rsidR="00F859F7" w:rsidRPr="003E32A2" w:rsidRDefault="00F859F7" w:rsidP="00D03395">
            <w:pPr>
              <w:tabs>
                <w:tab w:val="left" w:pos="426"/>
              </w:tabs>
              <w:rPr>
                <w:rFonts w:ascii="Arial" w:hAnsi="Arial" w:cs="Arial"/>
                <w:sz w:val="18"/>
              </w:rPr>
            </w:pPr>
          </w:p>
        </w:tc>
        <w:tc>
          <w:tcPr>
            <w:tcW w:w="5528" w:type="dxa"/>
            <w:gridSpan w:val="4"/>
          </w:tcPr>
          <w:p w14:paraId="5C2C5298"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vody; čistenie a odvod odpadových vôd, odpady a služby odstraňovania odpadov (36 až 39)</w:t>
            </w:r>
          </w:p>
        </w:tc>
      </w:tr>
      <w:tr w:rsidR="00F859F7" w:rsidRPr="003E32A2" w14:paraId="607F958A" w14:textId="77777777" w:rsidTr="00D03395">
        <w:trPr>
          <w:trHeight w:hRule="exact" w:val="80"/>
        </w:trPr>
        <w:tc>
          <w:tcPr>
            <w:tcW w:w="284" w:type="dxa"/>
          </w:tcPr>
          <w:p w14:paraId="07B85F0E" w14:textId="77777777" w:rsidR="00F859F7" w:rsidRPr="003E32A2" w:rsidRDefault="00F859F7" w:rsidP="00D03395">
            <w:pPr>
              <w:tabs>
                <w:tab w:val="left" w:pos="426"/>
              </w:tabs>
              <w:rPr>
                <w:rFonts w:ascii="Arial" w:hAnsi="Arial" w:cs="Arial"/>
                <w:sz w:val="18"/>
                <w:vertAlign w:val="superscript"/>
              </w:rPr>
            </w:pPr>
          </w:p>
        </w:tc>
        <w:tc>
          <w:tcPr>
            <w:tcW w:w="3189" w:type="dxa"/>
          </w:tcPr>
          <w:p w14:paraId="47234838" w14:textId="77777777" w:rsidR="00F859F7" w:rsidRPr="003E32A2" w:rsidRDefault="00F859F7" w:rsidP="00D03395">
            <w:pPr>
              <w:tabs>
                <w:tab w:val="left" w:pos="426"/>
              </w:tabs>
              <w:rPr>
                <w:rFonts w:ascii="Arial" w:hAnsi="Arial" w:cs="Arial"/>
                <w:sz w:val="18"/>
              </w:rPr>
            </w:pPr>
          </w:p>
        </w:tc>
        <w:tc>
          <w:tcPr>
            <w:tcW w:w="162" w:type="dxa"/>
          </w:tcPr>
          <w:p w14:paraId="2F9665A9" w14:textId="77777777" w:rsidR="00F859F7" w:rsidRPr="003E32A2" w:rsidRDefault="00F859F7" w:rsidP="00D03395">
            <w:pPr>
              <w:tabs>
                <w:tab w:val="left" w:pos="426"/>
              </w:tabs>
              <w:rPr>
                <w:rFonts w:ascii="Arial" w:hAnsi="Arial" w:cs="Arial"/>
                <w:sz w:val="18"/>
              </w:rPr>
            </w:pPr>
          </w:p>
        </w:tc>
        <w:tc>
          <w:tcPr>
            <w:tcW w:w="5528" w:type="dxa"/>
            <w:gridSpan w:val="4"/>
          </w:tcPr>
          <w:p w14:paraId="37C6CBA7" w14:textId="77777777" w:rsidR="00F859F7" w:rsidRPr="003E32A2" w:rsidRDefault="00F859F7" w:rsidP="00D03395">
            <w:pPr>
              <w:tabs>
                <w:tab w:val="left" w:pos="426"/>
              </w:tabs>
              <w:rPr>
                <w:rFonts w:ascii="Arial" w:hAnsi="Arial" w:cs="Arial"/>
                <w:sz w:val="18"/>
              </w:rPr>
            </w:pPr>
          </w:p>
        </w:tc>
      </w:tr>
      <w:tr w:rsidR="00F859F7" w:rsidRPr="003E32A2" w14:paraId="3BE155CD" w14:textId="77777777" w:rsidTr="00D03395">
        <w:tc>
          <w:tcPr>
            <w:tcW w:w="284" w:type="dxa"/>
          </w:tcPr>
          <w:p w14:paraId="1998C11A" w14:textId="77777777" w:rsidR="00F859F7" w:rsidRPr="003E32A2" w:rsidRDefault="00F859F7" w:rsidP="00D03395">
            <w:pPr>
              <w:tabs>
                <w:tab w:val="left" w:pos="426"/>
              </w:tabs>
              <w:rPr>
                <w:rFonts w:ascii="Arial" w:hAnsi="Arial" w:cs="Arial"/>
                <w:sz w:val="18"/>
                <w:vertAlign w:val="superscript"/>
              </w:rPr>
            </w:pPr>
          </w:p>
        </w:tc>
        <w:tc>
          <w:tcPr>
            <w:tcW w:w="3189" w:type="dxa"/>
          </w:tcPr>
          <w:p w14:paraId="1434C07D" w14:textId="77777777" w:rsidR="00F859F7" w:rsidRPr="003E32A2" w:rsidRDefault="00F859F7" w:rsidP="00D03395">
            <w:pPr>
              <w:tabs>
                <w:tab w:val="left" w:pos="426"/>
              </w:tabs>
              <w:rPr>
                <w:rFonts w:ascii="Arial" w:hAnsi="Arial" w:cs="Arial"/>
                <w:sz w:val="18"/>
              </w:rPr>
            </w:pPr>
            <w:r w:rsidRPr="003E32A2">
              <w:rPr>
                <w:rFonts w:ascii="Arial" w:hAnsi="Arial" w:cs="Arial"/>
                <w:sz w:val="18"/>
              </w:rPr>
              <w:t>Obchod</w:t>
            </w:r>
          </w:p>
        </w:tc>
        <w:tc>
          <w:tcPr>
            <w:tcW w:w="162" w:type="dxa"/>
          </w:tcPr>
          <w:p w14:paraId="46C93E2C" w14:textId="77777777" w:rsidR="00F859F7" w:rsidRPr="003E32A2" w:rsidRDefault="00F859F7" w:rsidP="00D03395">
            <w:pPr>
              <w:tabs>
                <w:tab w:val="left" w:pos="426"/>
              </w:tabs>
              <w:rPr>
                <w:rFonts w:ascii="Arial" w:hAnsi="Arial" w:cs="Arial"/>
                <w:sz w:val="18"/>
              </w:rPr>
            </w:pPr>
          </w:p>
        </w:tc>
        <w:tc>
          <w:tcPr>
            <w:tcW w:w="5528" w:type="dxa"/>
            <w:gridSpan w:val="4"/>
          </w:tcPr>
          <w:p w14:paraId="3162F1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maloobchod a oprava motorových vozidiel a moto</w:t>
            </w:r>
            <w:r w:rsidRPr="003E32A2">
              <w:rPr>
                <w:rFonts w:ascii="Arial" w:hAnsi="Arial" w:cs="Arial"/>
                <w:sz w:val="18"/>
              </w:rPr>
              <w:softHyphen/>
              <w:t>cyklov (45) , veľkoobchod okrem motorových vozidiel a motocyklov (46), maloobchod okrem motorových vozidiel a motocyklov (47)</w:t>
            </w:r>
          </w:p>
        </w:tc>
      </w:tr>
      <w:tr w:rsidR="00F859F7" w:rsidRPr="003E32A2" w14:paraId="5AE6DF57" w14:textId="77777777" w:rsidTr="00D03395">
        <w:tc>
          <w:tcPr>
            <w:tcW w:w="284" w:type="dxa"/>
          </w:tcPr>
          <w:p w14:paraId="4EA56766" w14:textId="77777777" w:rsidR="00F859F7" w:rsidRPr="003E32A2" w:rsidRDefault="00F859F7" w:rsidP="00D03395">
            <w:pPr>
              <w:tabs>
                <w:tab w:val="left" w:pos="426"/>
              </w:tabs>
              <w:rPr>
                <w:rFonts w:ascii="Arial" w:hAnsi="Arial" w:cs="Arial"/>
                <w:sz w:val="18"/>
                <w:vertAlign w:val="superscript"/>
              </w:rPr>
            </w:pPr>
          </w:p>
        </w:tc>
        <w:tc>
          <w:tcPr>
            <w:tcW w:w="3189" w:type="dxa"/>
          </w:tcPr>
          <w:p w14:paraId="3A7C8A4C" w14:textId="77777777" w:rsidR="00F859F7" w:rsidRPr="003E32A2" w:rsidRDefault="00F859F7" w:rsidP="00D03395">
            <w:pPr>
              <w:tabs>
                <w:tab w:val="left" w:pos="426"/>
              </w:tabs>
              <w:rPr>
                <w:rFonts w:ascii="Arial" w:hAnsi="Arial" w:cs="Arial"/>
                <w:sz w:val="18"/>
              </w:rPr>
            </w:pPr>
            <w:r w:rsidRPr="003E32A2">
              <w:rPr>
                <w:rFonts w:ascii="Arial" w:hAnsi="Arial" w:cs="Arial"/>
                <w:sz w:val="18"/>
              </w:rPr>
              <w:t>Predaj a oprava motorových vozi</w:t>
            </w:r>
            <w:r w:rsidRPr="003E32A2">
              <w:rPr>
                <w:rFonts w:ascii="Arial" w:hAnsi="Arial" w:cs="Arial"/>
                <w:sz w:val="18"/>
              </w:rPr>
              <w:softHyphen/>
              <w:t>diel</w:t>
            </w:r>
          </w:p>
        </w:tc>
        <w:tc>
          <w:tcPr>
            <w:tcW w:w="162" w:type="dxa"/>
          </w:tcPr>
          <w:p w14:paraId="56D26212" w14:textId="77777777" w:rsidR="00F859F7" w:rsidRPr="003E32A2" w:rsidRDefault="00F859F7" w:rsidP="00D03395">
            <w:pPr>
              <w:tabs>
                <w:tab w:val="left" w:pos="426"/>
              </w:tabs>
              <w:rPr>
                <w:rFonts w:ascii="Arial" w:hAnsi="Arial" w:cs="Arial"/>
                <w:sz w:val="18"/>
              </w:rPr>
            </w:pPr>
          </w:p>
        </w:tc>
        <w:tc>
          <w:tcPr>
            <w:tcW w:w="5528" w:type="dxa"/>
            <w:gridSpan w:val="4"/>
          </w:tcPr>
          <w:p w14:paraId="60092BEC"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maloobchod a oprava motorových vozidiel a moto</w:t>
            </w:r>
            <w:r w:rsidRPr="003E32A2">
              <w:rPr>
                <w:rFonts w:ascii="Arial" w:hAnsi="Arial" w:cs="Arial"/>
                <w:sz w:val="18"/>
              </w:rPr>
              <w:softHyphen/>
              <w:t>cyklov (45)</w:t>
            </w:r>
          </w:p>
        </w:tc>
      </w:tr>
      <w:tr w:rsidR="00F859F7" w:rsidRPr="003E32A2" w14:paraId="4C4E0305" w14:textId="77777777" w:rsidTr="00D03395">
        <w:tc>
          <w:tcPr>
            <w:tcW w:w="284" w:type="dxa"/>
          </w:tcPr>
          <w:p w14:paraId="6612E7F1" w14:textId="77777777" w:rsidR="00F859F7" w:rsidRPr="003E32A2" w:rsidRDefault="00F859F7" w:rsidP="00D03395">
            <w:pPr>
              <w:tabs>
                <w:tab w:val="left" w:pos="426"/>
              </w:tabs>
              <w:rPr>
                <w:rFonts w:ascii="Arial" w:hAnsi="Arial" w:cs="Arial"/>
                <w:sz w:val="18"/>
                <w:vertAlign w:val="superscript"/>
              </w:rPr>
            </w:pPr>
          </w:p>
        </w:tc>
        <w:tc>
          <w:tcPr>
            <w:tcW w:w="3189" w:type="dxa"/>
          </w:tcPr>
          <w:p w14:paraId="7E58F27F"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w:t>
            </w:r>
          </w:p>
        </w:tc>
        <w:tc>
          <w:tcPr>
            <w:tcW w:w="162" w:type="dxa"/>
          </w:tcPr>
          <w:p w14:paraId="355BEC32" w14:textId="77777777" w:rsidR="00F859F7" w:rsidRPr="003E32A2" w:rsidRDefault="00F859F7" w:rsidP="00D03395">
            <w:pPr>
              <w:tabs>
                <w:tab w:val="left" w:pos="426"/>
              </w:tabs>
              <w:rPr>
                <w:rFonts w:ascii="Arial" w:hAnsi="Arial" w:cs="Arial"/>
                <w:sz w:val="18"/>
              </w:rPr>
            </w:pPr>
          </w:p>
        </w:tc>
        <w:tc>
          <w:tcPr>
            <w:tcW w:w="5528" w:type="dxa"/>
            <w:gridSpan w:val="4"/>
          </w:tcPr>
          <w:p w14:paraId="22810FF6"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okrem motorových vozidiel a motocyklov (46)</w:t>
            </w:r>
          </w:p>
        </w:tc>
      </w:tr>
      <w:tr w:rsidR="00F859F7" w:rsidRPr="003E32A2" w14:paraId="24D34401" w14:textId="77777777" w:rsidTr="00D03395">
        <w:tc>
          <w:tcPr>
            <w:tcW w:w="284" w:type="dxa"/>
          </w:tcPr>
          <w:p w14:paraId="67D6A890" w14:textId="77777777" w:rsidR="00F859F7" w:rsidRPr="003E32A2" w:rsidRDefault="00F859F7" w:rsidP="00D03395">
            <w:pPr>
              <w:tabs>
                <w:tab w:val="left" w:pos="426"/>
              </w:tabs>
              <w:rPr>
                <w:rFonts w:ascii="Arial" w:hAnsi="Arial" w:cs="Arial"/>
                <w:sz w:val="18"/>
                <w:vertAlign w:val="superscript"/>
              </w:rPr>
            </w:pPr>
          </w:p>
        </w:tc>
        <w:tc>
          <w:tcPr>
            <w:tcW w:w="3189" w:type="dxa"/>
          </w:tcPr>
          <w:p w14:paraId="310D7CAC" w14:textId="77777777" w:rsidR="00F859F7" w:rsidRPr="003E32A2" w:rsidRDefault="00F859F7" w:rsidP="00D03395">
            <w:pPr>
              <w:tabs>
                <w:tab w:val="left" w:pos="426"/>
              </w:tabs>
              <w:rPr>
                <w:rFonts w:ascii="Arial" w:hAnsi="Arial" w:cs="Arial"/>
                <w:sz w:val="18"/>
              </w:rPr>
            </w:pPr>
            <w:r w:rsidRPr="003E32A2">
              <w:rPr>
                <w:rFonts w:ascii="Arial" w:hAnsi="Arial" w:cs="Arial"/>
                <w:sz w:val="18"/>
              </w:rPr>
              <w:t>Maloobchod</w:t>
            </w:r>
          </w:p>
        </w:tc>
        <w:tc>
          <w:tcPr>
            <w:tcW w:w="162" w:type="dxa"/>
          </w:tcPr>
          <w:p w14:paraId="6D749C96" w14:textId="77777777" w:rsidR="00F859F7" w:rsidRPr="003E32A2" w:rsidRDefault="00F859F7" w:rsidP="00D03395">
            <w:pPr>
              <w:tabs>
                <w:tab w:val="left" w:pos="426"/>
              </w:tabs>
              <w:rPr>
                <w:rFonts w:ascii="Arial" w:hAnsi="Arial" w:cs="Arial"/>
                <w:sz w:val="18"/>
              </w:rPr>
            </w:pPr>
          </w:p>
        </w:tc>
        <w:tc>
          <w:tcPr>
            <w:tcW w:w="5528" w:type="dxa"/>
            <w:gridSpan w:val="4"/>
          </w:tcPr>
          <w:p w14:paraId="2DA818FC" w14:textId="77777777" w:rsidR="00F859F7" w:rsidRPr="003E32A2" w:rsidRDefault="00F859F7" w:rsidP="00D03395">
            <w:pPr>
              <w:tabs>
                <w:tab w:val="left" w:pos="426"/>
              </w:tabs>
              <w:rPr>
                <w:rFonts w:ascii="Arial" w:hAnsi="Arial" w:cs="Arial"/>
                <w:sz w:val="18"/>
              </w:rPr>
            </w:pPr>
            <w:r w:rsidRPr="003E32A2">
              <w:rPr>
                <w:rFonts w:ascii="Arial" w:hAnsi="Arial" w:cs="Arial"/>
                <w:sz w:val="18"/>
              </w:rPr>
              <w:t>Maloobchod okrem motorových vozidiel a motocyklov (47)</w:t>
            </w:r>
          </w:p>
        </w:tc>
      </w:tr>
      <w:tr w:rsidR="00F859F7" w:rsidRPr="003E32A2" w14:paraId="3754135D" w14:textId="77777777" w:rsidTr="00D03395">
        <w:trPr>
          <w:trHeight w:hRule="exact" w:val="79"/>
        </w:trPr>
        <w:tc>
          <w:tcPr>
            <w:tcW w:w="284" w:type="dxa"/>
          </w:tcPr>
          <w:p w14:paraId="57E4A6A4" w14:textId="77777777" w:rsidR="00F859F7" w:rsidRPr="003E32A2" w:rsidRDefault="00F859F7" w:rsidP="00D03395">
            <w:pPr>
              <w:tabs>
                <w:tab w:val="left" w:pos="426"/>
              </w:tabs>
              <w:rPr>
                <w:rFonts w:ascii="Arial" w:hAnsi="Arial" w:cs="Arial"/>
                <w:sz w:val="18"/>
                <w:vertAlign w:val="superscript"/>
              </w:rPr>
            </w:pPr>
          </w:p>
        </w:tc>
        <w:tc>
          <w:tcPr>
            <w:tcW w:w="3189" w:type="dxa"/>
          </w:tcPr>
          <w:p w14:paraId="79D9B7F8" w14:textId="77777777" w:rsidR="00F859F7" w:rsidRPr="003E32A2" w:rsidRDefault="00F859F7" w:rsidP="00D03395">
            <w:pPr>
              <w:tabs>
                <w:tab w:val="left" w:pos="426"/>
              </w:tabs>
              <w:rPr>
                <w:rFonts w:ascii="Arial" w:hAnsi="Arial" w:cs="Arial"/>
                <w:sz w:val="18"/>
              </w:rPr>
            </w:pPr>
          </w:p>
        </w:tc>
        <w:tc>
          <w:tcPr>
            <w:tcW w:w="162" w:type="dxa"/>
          </w:tcPr>
          <w:p w14:paraId="30738F7E" w14:textId="77777777" w:rsidR="00F859F7" w:rsidRPr="003E32A2" w:rsidRDefault="00F859F7" w:rsidP="00D03395">
            <w:pPr>
              <w:tabs>
                <w:tab w:val="left" w:pos="426"/>
              </w:tabs>
              <w:rPr>
                <w:rFonts w:ascii="Arial" w:hAnsi="Arial" w:cs="Arial"/>
                <w:sz w:val="18"/>
              </w:rPr>
            </w:pPr>
          </w:p>
        </w:tc>
        <w:tc>
          <w:tcPr>
            <w:tcW w:w="5528" w:type="dxa"/>
            <w:gridSpan w:val="4"/>
          </w:tcPr>
          <w:p w14:paraId="5C54ABEA" w14:textId="77777777" w:rsidR="00F859F7" w:rsidRPr="003E32A2" w:rsidRDefault="00F859F7" w:rsidP="00D03395">
            <w:pPr>
              <w:tabs>
                <w:tab w:val="left" w:pos="426"/>
              </w:tabs>
              <w:rPr>
                <w:rFonts w:ascii="Arial" w:hAnsi="Arial" w:cs="Arial"/>
                <w:sz w:val="18"/>
              </w:rPr>
            </w:pPr>
          </w:p>
        </w:tc>
      </w:tr>
      <w:tr w:rsidR="00F859F7" w:rsidRPr="003E32A2" w14:paraId="029DA02C" w14:textId="77777777" w:rsidTr="00D03395">
        <w:tc>
          <w:tcPr>
            <w:tcW w:w="284" w:type="dxa"/>
          </w:tcPr>
          <w:p w14:paraId="2F77AB15" w14:textId="77777777" w:rsidR="00F859F7" w:rsidRPr="003E32A2" w:rsidRDefault="00F859F7" w:rsidP="00D03395">
            <w:pPr>
              <w:tabs>
                <w:tab w:val="left" w:pos="426"/>
              </w:tabs>
              <w:rPr>
                <w:rFonts w:ascii="Arial" w:hAnsi="Arial" w:cs="Arial"/>
                <w:sz w:val="18"/>
                <w:vertAlign w:val="superscript"/>
              </w:rPr>
            </w:pPr>
          </w:p>
        </w:tc>
        <w:tc>
          <w:tcPr>
            <w:tcW w:w="3189" w:type="dxa"/>
          </w:tcPr>
          <w:p w14:paraId="1CEB055F" w14:textId="77777777" w:rsidR="00F859F7" w:rsidRPr="003E32A2" w:rsidRDefault="00F859F7" w:rsidP="00D03395">
            <w:pPr>
              <w:tabs>
                <w:tab w:val="left" w:pos="426"/>
              </w:tabs>
              <w:rPr>
                <w:rFonts w:ascii="Arial" w:hAnsi="Arial" w:cs="Arial"/>
                <w:sz w:val="18"/>
              </w:rPr>
            </w:pPr>
            <w:r w:rsidRPr="003E32A2">
              <w:rPr>
                <w:rFonts w:ascii="Arial" w:hAnsi="Arial" w:cs="Arial"/>
                <w:sz w:val="18"/>
              </w:rPr>
              <w:t>Ubytovacie a stravovacie služby</w:t>
            </w:r>
          </w:p>
        </w:tc>
        <w:tc>
          <w:tcPr>
            <w:tcW w:w="162" w:type="dxa"/>
          </w:tcPr>
          <w:p w14:paraId="7F39BE96" w14:textId="77777777" w:rsidR="00F859F7" w:rsidRPr="003E32A2" w:rsidRDefault="00F859F7" w:rsidP="00D03395">
            <w:pPr>
              <w:tabs>
                <w:tab w:val="left" w:pos="426"/>
              </w:tabs>
              <w:rPr>
                <w:rFonts w:ascii="Arial" w:hAnsi="Arial" w:cs="Arial"/>
                <w:sz w:val="18"/>
              </w:rPr>
            </w:pPr>
          </w:p>
        </w:tc>
        <w:tc>
          <w:tcPr>
            <w:tcW w:w="5528" w:type="dxa"/>
            <w:gridSpan w:val="4"/>
          </w:tcPr>
          <w:p w14:paraId="65517FB8" w14:textId="77777777" w:rsidR="00F859F7" w:rsidRPr="003E32A2" w:rsidRDefault="00F859F7" w:rsidP="00D03395">
            <w:pPr>
              <w:tabs>
                <w:tab w:val="left" w:pos="426"/>
              </w:tabs>
              <w:rPr>
                <w:rFonts w:ascii="Arial" w:hAnsi="Arial" w:cs="Arial"/>
                <w:sz w:val="18"/>
              </w:rPr>
            </w:pPr>
            <w:r w:rsidRPr="003E32A2">
              <w:rPr>
                <w:rFonts w:ascii="Arial" w:hAnsi="Arial" w:cs="Arial"/>
                <w:sz w:val="18"/>
              </w:rPr>
              <w:t>Ubytovanie (55), činnosti reštaurácií a pohostinstiev (56)</w:t>
            </w:r>
          </w:p>
        </w:tc>
      </w:tr>
      <w:tr w:rsidR="00F859F7" w:rsidRPr="003E32A2" w14:paraId="0D02FA05" w14:textId="77777777" w:rsidTr="00D03395">
        <w:trPr>
          <w:trHeight w:hRule="exact" w:val="80"/>
        </w:trPr>
        <w:tc>
          <w:tcPr>
            <w:tcW w:w="284" w:type="dxa"/>
          </w:tcPr>
          <w:p w14:paraId="741661CB" w14:textId="77777777" w:rsidR="00F859F7" w:rsidRPr="003E32A2" w:rsidRDefault="00F859F7" w:rsidP="00D03395">
            <w:pPr>
              <w:tabs>
                <w:tab w:val="left" w:pos="426"/>
              </w:tabs>
              <w:rPr>
                <w:rFonts w:ascii="Arial" w:hAnsi="Arial" w:cs="Arial"/>
                <w:sz w:val="18"/>
                <w:vertAlign w:val="superscript"/>
              </w:rPr>
            </w:pPr>
          </w:p>
        </w:tc>
        <w:tc>
          <w:tcPr>
            <w:tcW w:w="3189" w:type="dxa"/>
          </w:tcPr>
          <w:p w14:paraId="19B2903A" w14:textId="77777777" w:rsidR="00F859F7" w:rsidRPr="003E32A2" w:rsidRDefault="00F859F7" w:rsidP="00D03395">
            <w:pPr>
              <w:tabs>
                <w:tab w:val="left" w:pos="426"/>
              </w:tabs>
              <w:rPr>
                <w:rFonts w:ascii="Arial" w:hAnsi="Arial" w:cs="Arial"/>
                <w:sz w:val="18"/>
              </w:rPr>
            </w:pPr>
          </w:p>
        </w:tc>
        <w:tc>
          <w:tcPr>
            <w:tcW w:w="162" w:type="dxa"/>
          </w:tcPr>
          <w:p w14:paraId="7253C5A1" w14:textId="77777777" w:rsidR="00F859F7" w:rsidRPr="003E32A2" w:rsidRDefault="00F859F7" w:rsidP="00D03395">
            <w:pPr>
              <w:tabs>
                <w:tab w:val="left" w:pos="426"/>
              </w:tabs>
              <w:rPr>
                <w:rFonts w:ascii="Arial" w:hAnsi="Arial" w:cs="Arial"/>
                <w:sz w:val="18"/>
              </w:rPr>
            </w:pPr>
          </w:p>
        </w:tc>
        <w:tc>
          <w:tcPr>
            <w:tcW w:w="5528" w:type="dxa"/>
            <w:gridSpan w:val="4"/>
          </w:tcPr>
          <w:p w14:paraId="12D1930C" w14:textId="77777777" w:rsidR="00F859F7" w:rsidRPr="003E32A2" w:rsidRDefault="00F859F7" w:rsidP="00D03395">
            <w:pPr>
              <w:tabs>
                <w:tab w:val="left" w:pos="426"/>
              </w:tabs>
              <w:rPr>
                <w:rFonts w:ascii="Arial" w:hAnsi="Arial" w:cs="Arial"/>
                <w:sz w:val="18"/>
              </w:rPr>
            </w:pPr>
          </w:p>
        </w:tc>
      </w:tr>
      <w:tr w:rsidR="00F859F7" w:rsidRPr="003E32A2" w14:paraId="2C47B93F" w14:textId="77777777" w:rsidTr="00D03395">
        <w:tc>
          <w:tcPr>
            <w:tcW w:w="284" w:type="dxa"/>
          </w:tcPr>
          <w:p w14:paraId="463E504E" w14:textId="77777777" w:rsidR="00F859F7" w:rsidRPr="003E32A2" w:rsidRDefault="00F859F7" w:rsidP="00D03395">
            <w:pPr>
              <w:tabs>
                <w:tab w:val="left" w:pos="426"/>
              </w:tabs>
              <w:rPr>
                <w:rFonts w:ascii="Arial" w:hAnsi="Arial" w:cs="Arial"/>
                <w:sz w:val="18"/>
                <w:vertAlign w:val="superscript"/>
              </w:rPr>
            </w:pPr>
          </w:p>
        </w:tc>
        <w:tc>
          <w:tcPr>
            <w:tcW w:w="3189" w:type="dxa"/>
          </w:tcPr>
          <w:p w14:paraId="5F9BACE8"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Doprava a skladovanie</w:t>
            </w:r>
          </w:p>
        </w:tc>
        <w:tc>
          <w:tcPr>
            <w:tcW w:w="162" w:type="dxa"/>
          </w:tcPr>
          <w:p w14:paraId="724521AF" w14:textId="77777777" w:rsidR="00F859F7" w:rsidRPr="003E32A2" w:rsidRDefault="00F859F7" w:rsidP="00D03395">
            <w:pPr>
              <w:tabs>
                <w:tab w:val="left" w:pos="426"/>
              </w:tabs>
              <w:rPr>
                <w:rFonts w:ascii="Arial" w:hAnsi="Arial" w:cs="Arial"/>
                <w:sz w:val="18"/>
              </w:rPr>
            </w:pPr>
          </w:p>
        </w:tc>
        <w:tc>
          <w:tcPr>
            <w:tcW w:w="5528" w:type="dxa"/>
            <w:gridSpan w:val="4"/>
          </w:tcPr>
          <w:p w14:paraId="612A3BDF" w14:textId="77777777" w:rsidR="00F859F7" w:rsidRPr="003E32A2" w:rsidRDefault="00F859F7" w:rsidP="00D03395">
            <w:pPr>
              <w:tabs>
                <w:tab w:val="left" w:pos="426"/>
              </w:tabs>
              <w:rPr>
                <w:rFonts w:ascii="Arial" w:hAnsi="Arial" w:cs="Arial"/>
                <w:sz w:val="18"/>
              </w:rPr>
            </w:pPr>
            <w:r w:rsidRPr="003E32A2">
              <w:rPr>
                <w:rFonts w:ascii="Arial" w:hAnsi="Arial" w:cs="Arial"/>
                <w:sz w:val="18"/>
              </w:rPr>
              <w:t>Pozemná doprava a doprava potrubím (49), vodná doprava (50), letecká doprava (51), skladové a pomocné činnosti v doprave (52), poštové služby a služby kuriérov (53)</w:t>
            </w:r>
          </w:p>
        </w:tc>
      </w:tr>
      <w:tr w:rsidR="00F859F7" w:rsidRPr="003E32A2" w14:paraId="78C05F16" w14:textId="77777777" w:rsidTr="00D03395">
        <w:trPr>
          <w:trHeight w:hRule="exact" w:val="80"/>
        </w:trPr>
        <w:tc>
          <w:tcPr>
            <w:tcW w:w="284" w:type="dxa"/>
          </w:tcPr>
          <w:p w14:paraId="569A7A8E" w14:textId="77777777" w:rsidR="00F859F7" w:rsidRPr="003E32A2" w:rsidRDefault="00F859F7" w:rsidP="00D03395">
            <w:pPr>
              <w:tabs>
                <w:tab w:val="left" w:pos="426"/>
              </w:tabs>
              <w:rPr>
                <w:rFonts w:ascii="Arial" w:hAnsi="Arial" w:cs="Arial"/>
                <w:sz w:val="18"/>
                <w:vertAlign w:val="superscript"/>
              </w:rPr>
            </w:pPr>
          </w:p>
        </w:tc>
        <w:tc>
          <w:tcPr>
            <w:tcW w:w="3189" w:type="dxa"/>
          </w:tcPr>
          <w:p w14:paraId="7F5C7D29" w14:textId="77777777" w:rsidR="00F859F7" w:rsidRPr="003E32A2" w:rsidRDefault="00F859F7" w:rsidP="00D03395">
            <w:pPr>
              <w:tabs>
                <w:tab w:val="left" w:pos="426"/>
              </w:tabs>
              <w:rPr>
                <w:rFonts w:ascii="Arial" w:hAnsi="Arial" w:cs="Arial"/>
                <w:sz w:val="18"/>
              </w:rPr>
            </w:pPr>
          </w:p>
        </w:tc>
        <w:tc>
          <w:tcPr>
            <w:tcW w:w="162" w:type="dxa"/>
          </w:tcPr>
          <w:p w14:paraId="1A3A9D76" w14:textId="77777777" w:rsidR="00F859F7" w:rsidRPr="003E32A2" w:rsidRDefault="00F859F7" w:rsidP="00D03395">
            <w:pPr>
              <w:tabs>
                <w:tab w:val="left" w:pos="426"/>
              </w:tabs>
              <w:rPr>
                <w:rFonts w:ascii="Arial" w:hAnsi="Arial" w:cs="Arial"/>
                <w:sz w:val="18"/>
              </w:rPr>
            </w:pPr>
          </w:p>
        </w:tc>
        <w:tc>
          <w:tcPr>
            <w:tcW w:w="5528" w:type="dxa"/>
            <w:gridSpan w:val="4"/>
          </w:tcPr>
          <w:p w14:paraId="55B76C3E" w14:textId="77777777" w:rsidR="00F859F7" w:rsidRPr="003E32A2" w:rsidRDefault="00F859F7" w:rsidP="00D03395">
            <w:pPr>
              <w:tabs>
                <w:tab w:val="left" w:pos="426"/>
              </w:tabs>
              <w:rPr>
                <w:rFonts w:ascii="Arial" w:hAnsi="Arial" w:cs="Arial"/>
                <w:sz w:val="18"/>
              </w:rPr>
            </w:pPr>
          </w:p>
        </w:tc>
      </w:tr>
      <w:tr w:rsidR="00F859F7" w:rsidRPr="003E32A2" w14:paraId="3EF155E5" w14:textId="77777777" w:rsidTr="00D03395">
        <w:tc>
          <w:tcPr>
            <w:tcW w:w="284" w:type="dxa"/>
          </w:tcPr>
          <w:p w14:paraId="070CC3A9" w14:textId="77777777" w:rsidR="00F859F7" w:rsidRPr="003E32A2" w:rsidRDefault="00F859F7" w:rsidP="00D03395">
            <w:pPr>
              <w:tabs>
                <w:tab w:val="left" w:pos="426"/>
              </w:tabs>
              <w:rPr>
                <w:rFonts w:ascii="Arial" w:hAnsi="Arial" w:cs="Arial"/>
                <w:sz w:val="18"/>
                <w:vertAlign w:val="superscript"/>
              </w:rPr>
            </w:pPr>
          </w:p>
        </w:tc>
        <w:tc>
          <w:tcPr>
            <w:tcW w:w="3189" w:type="dxa"/>
          </w:tcPr>
          <w:p w14:paraId="0FBAD6D5" w14:textId="77777777" w:rsidR="00F859F7" w:rsidRPr="003E32A2" w:rsidRDefault="00F859F7" w:rsidP="00D03395">
            <w:pPr>
              <w:tabs>
                <w:tab w:val="left" w:pos="426"/>
              </w:tabs>
              <w:rPr>
                <w:rFonts w:ascii="Arial" w:hAnsi="Arial" w:cs="Arial"/>
                <w:sz w:val="18"/>
              </w:rPr>
            </w:pPr>
            <w:r w:rsidRPr="003E32A2">
              <w:rPr>
                <w:rFonts w:ascii="Arial" w:hAnsi="Arial" w:cs="Arial"/>
                <w:sz w:val="18"/>
              </w:rPr>
              <w:t>Informácie a komunikácia</w:t>
            </w:r>
          </w:p>
        </w:tc>
        <w:tc>
          <w:tcPr>
            <w:tcW w:w="162" w:type="dxa"/>
          </w:tcPr>
          <w:p w14:paraId="0DD051D8" w14:textId="77777777" w:rsidR="00F859F7" w:rsidRPr="003E32A2" w:rsidRDefault="00F859F7" w:rsidP="00D03395">
            <w:pPr>
              <w:tabs>
                <w:tab w:val="left" w:pos="426"/>
              </w:tabs>
              <w:rPr>
                <w:rFonts w:ascii="Arial" w:hAnsi="Arial" w:cs="Arial"/>
                <w:sz w:val="18"/>
              </w:rPr>
            </w:pPr>
          </w:p>
        </w:tc>
        <w:tc>
          <w:tcPr>
            <w:tcW w:w="5528" w:type="dxa"/>
            <w:gridSpan w:val="4"/>
          </w:tcPr>
          <w:p w14:paraId="0BE0823F" w14:textId="77777777" w:rsidR="00F859F7" w:rsidRPr="003E32A2" w:rsidRDefault="00F859F7" w:rsidP="00D03395">
            <w:pPr>
              <w:tabs>
                <w:tab w:val="left" w:pos="426"/>
              </w:tabs>
              <w:rPr>
                <w:rFonts w:ascii="Arial" w:hAnsi="Arial" w:cs="Arial"/>
                <w:sz w:val="18"/>
              </w:rPr>
            </w:pPr>
            <w:r w:rsidRPr="003E32A2">
              <w:rPr>
                <w:rFonts w:ascii="Arial" w:hAnsi="Arial" w:cs="Arial"/>
                <w:sz w:val="18"/>
              </w:rPr>
              <w:t>Nakladateľské činnosti (58), vý</w:t>
            </w:r>
            <w:r w:rsidRPr="003E32A2">
              <w:rPr>
                <w:rFonts w:ascii="Arial" w:hAnsi="Arial" w:cs="Arial"/>
                <w:sz w:val="18"/>
              </w:rPr>
              <w:softHyphen/>
              <w:t>ro</w:t>
            </w:r>
            <w:r w:rsidRPr="003E32A2">
              <w:rPr>
                <w:rFonts w:ascii="Arial" w:hAnsi="Arial" w:cs="Arial"/>
                <w:sz w:val="18"/>
              </w:rPr>
              <w:softHyphen/>
              <w:t>ba filmov, videozáznamov a tele</w:t>
            </w:r>
            <w:r w:rsidRPr="003E32A2">
              <w:rPr>
                <w:rFonts w:ascii="Arial" w:hAnsi="Arial" w:cs="Arial"/>
                <w:sz w:val="18"/>
              </w:rPr>
              <w:softHyphen/>
              <w:t>víznych programov, príprava a zverejňovanie zvukových nahrávok (59), čin</w:t>
            </w:r>
            <w:r w:rsidRPr="003E32A2">
              <w:rPr>
                <w:rFonts w:ascii="Arial" w:hAnsi="Arial" w:cs="Arial"/>
                <w:sz w:val="18"/>
              </w:rPr>
              <w:softHyphen/>
              <w:t>nosti pre rozhlasové a televízne vy</w:t>
            </w:r>
            <w:r w:rsidRPr="003E32A2">
              <w:rPr>
                <w:rFonts w:ascii="Arial" w:hAnsi="Arial" w:cs="Arial"/>
                <w:sz w:val="18"/>
              </w:rPr>
              <w:softHyphen/>
              <w:t>sie</w:t>
            </w:r>
            <w:r w:rsidRPr="003E32A2">
              <w:rPr>
                <w:rFonts w:ascii="Arial" w:hAnsi="Arial" w:cs="Arial"/>
                <w:sz w:val="18"/>
              </w:rPr>
              <w:softHyphen/>
              <w:t>lanie (60), teleko</w:t>
            </w:r>
            <w:r w:rsidRPr="003E32A2">
              <w:rPr>
                <w:rFonts w:ascii="Arial" w:hAnsi="Arial" w:cs="Arial"/>
                <w:sz w:val="18"/>
              </w:rPr>
              <w:softHyphen/>
              <w:t>mu</w:t>
            </w:r>
            <w:r w:rsidRPr="003E32A2">
              <w:rPr>
                <w:rFonts w:ascii="Arial" w:hAnsi="Arial" w:cs="Arial"/>
                <w:sz w:val="18"/>
              </w:rPr>
              <w:softHyphen/>
              <w:t>nikácie (61), počítačové programovanie, po</w:t>
            </w:r>
            <w:r w:rsidRPr="003E32A2">
              <w:rPr>
                <w:rFonts w:ascii="Arial" w:hAnsi="Arial" w:cs="Arial"/>
                <w:sz w:val="18"/>
              </w:rPr>
              <w:softHyphen/>
              <w:t>ra</w:t>
            </w:r>
            <w:r w:rsidRPr="003E32A2">
              <w:rPr>
                <w:rFonts w:ascii="Arial" w:hAnsi="Arial" w:cs="Arial"/>
                <w:sz w:val="18"/>
              </w:rPr>
              <w:softHyphen/>
              <w:t>denstvo a súvisiace služby (62), informačné služby (63)</w:t>
            </w:r>
          </w:p>
        </w:tc>
      </w:tr>
      <w:tr w:rsidR="00F859F7" w:rsidRPr="003E32A2" w14:paraId="2F31F48C" w14:textId="77777777" w:rsidTr="00D03395">
        <w:trPr>
          <w:trHeight w:hRule="exact" w:val="80"/>
        </w:trPr>
        <w:tc>
          <w:tcPr>
            <w:tcW w:w="284" w:type="dxa"/>
          </w:tcPr>
          <w:p w14:paraId="4B791612" w14:textId="77777777" w:rsidR="00F859F7" w:rsidRPr="003E32A2" w:rsidRDefault="00F859F7" w:rsidP="00D03395">
            <w:pPr>
              <w:tabs>
                <w:tab w:val="left" w:pos="426"/>
              </w:tabs>
              <w:rPr>
                <w:rFonts w:ascii="Arial" w:hAnsi="Arial" w:cs="Arial"/>
                <w:sz w:val="18"/>
                <w:vertAlign w:val="superscript"/>
              </w:rPr>
            </w:pPr>
          </w:p>
        </w:tc>
        <w:tc>
          <w:tcPr>
            <w:tcW w:w="3189" w:type="dxa"/>
          </w:tcPr>
          <w:p w14:paraId="7F508F3F" w14:textId="77777777" w:rsidR="00F859F7" w:rsidRPr="003E32A2" w:rsidRDefault="00F859F7" w:rsidP="00D03395">
            <w:pPr>
              <w:tabs>
                <w:tab w:val="left" w:pos="426"/>
              </w:tabs>
              <w:rPr>
                <w:rFonts w:ascii="Arial" w:hAnsi="Arial" w:cs="Arial"/>
                <w:sz w:val="18"/>
              </w:rPr>
            </w:pPr>
          </w:p>
        </w:tc>
        <w:tc>
          <w:tcPr>
            <w:tcW w:w="162" w:type="dxa"/>
          </w:tcPr>
          <w:p w14:paraId="50945481" w14:textId="77777777" w:rsidR="00F859F7" w:rsidRPr="003E32A2" w:rsidRDefault="00F859F7" w:rsidP="00D03395">
            <w:pPr>
              <w:tabs>
                <w:tab w:val="left" w:pos="426"/>
              </w:tabs>
              <w:rPr>
                <w:rFonts w:ascii="Arial" w:hAnsi="Arial" w:cs="Arial"/>
                <w:sz w:val="18"/>
              </w:rPr>
            </w:pPr>
          </w:p>
        </w:tc>
        <w:tc>
          <w:tcPr>
            <w:tcW w:w="5528" w:type="dxa"/>
            <w:gridSpan w:val="4"/>
          </w:tcPr>
          <w:p w14:paraId="657AB300" w14:textId="77777777" w:rsidR="00F859F7" w:rsidRPr="003E32A2" w:rsidRDefault="00F859F7" w:rsidP="00D03395">
            <w:pPr>
              <w:tabs>
                <w:tab w:val="left" w:pos="426"/>
              </w:tabs>
              <w:rPr>
                <w:rFonts w:ascii="Arial" w:hAnsi="Arial" w:cs="Arial"/>
                <w:sz w:val="18"/>
              </w:rPr>
            </w:pPr>
          </w:p>
        </w:tc>
      </w:tr>
      <w:tr w:rsidR="00F859F7" w:rsidRPr="003E32A2" w14:paraId="79DA9C50" w14:textId="77777777" w:rsidTr="00D03395">
        <w:tc>
          <w:tcPr>
            <w:tcW w:w="284" w:type="dxa"/>
          </w:tcPr>
          <w:p w14:paraId="2A7F67C4" w14:textId="77777777" w:rsidR="00F859F7" w:rsidRPr="003E32A2" w:rsidRDefault="00F859F7" w:rsidP="00D03395">
            <w:pPr>
              <w:tabs>
                <w:tab w:val="left" w:pos="426"/>
              </w:tabs>
              <w:rPr>
                <w:rFonts w:ascii="Arial" w:hAnsi="Arial" w:cs="Arial"/>
                <w:sz w:val="18"/>
                <w:vertAlign w:val="superscript"/>
              </w:rPr>
            </w:pPr>
          </w:p>
        </w:tc>
        <w:tc>
          <w:tcPr>
            <w:tcW w:w="3189" w:type="dxa"/>
          </w:tcPr>
          <w:p w14:paraId="74BC99ED" w14:textId="77777777" w:rsidR="00F859F7" w:rsidRPr="003E32A2" w:rsidRDefault="00F859F7" w:rsidP="00D03395">
            <w:pPr>
              <w:tabs>
                <w:tab w:val="left" w:pos="426"/>
              </w:tabs>
              <w:rPr>
                <w:rFonts w:ascii="Arial" w:hAnsi="Arial" w:cs="Arial"/>
                <w:sz w:val="18"/>
              </w:rPr>
            </w:pPr>
            <w:r w:rsidRPr="003E32A2">
              <w:rPr>
                <w:rFonts w:ascii="Arial" w:hAnsi="Arial" w:cs="Arial"/>
                <w:sz w:val="18"/>
              </w:rPr>
              <w:t>Vybrané trhové služby</w:t>
            </w:r>
          </w:p>
        </w:tc>
        <w:tc>
          <w:tcPr>
            <w:tcW w:w="162" w:type="dxa"/>
          </w:tcPr>
          <w:p w14:paraId="0269FD22" w14:textId="77777777" w:rsidR="00F859F7" w:rsidRPr="003E32A2" w:rsidRDefault="00F859F7" w:rsidP="00D03395">
            <w:pPr>
              <w:tabs>
                <w:tab w:val="left" w:pos="426"/>
              </w:tabs>
              <w:rPr>
                <w:rFonts w:ascii="Arial" w:hAnsi="Arial" w:cs="Arial"/>
                <w:sz w:val="18"/>
              </w:rPr>
            </w:pPr>
          </w:p>
        </w:tc>
        <w:tc>
          <w:tcPr>
            <w:tcW w:w="5528" w:type="dxa"/>
            <w:gridSpan w:val="4"/>
          </w:tcPr>
          <w:p w14:paraId="3720A159" w14:textId="77777777" w:rsidR="00F859F7" w:rsidRPr="003E32A2" w:rsidRDefault="00F859F7" w:rsidP="00D03395">
            <w:pPr>
              <w:tabs>
                <w:tab w:val="left" w:pos="426"/>
              </w:tabs>
              <w:rPr>
                <w:rFonts w:ascii="Arial" w:hAnsi="Arial" w:cs="Arial"/>
                <w:sz w:val="18"/>
              </w:rPr>
            </w:pPr>
            <w:r w:rsidRPr="003E32A2">
              <w:rPr>
                <w:rFonts w:ascii="Arial" w:hAnsi="Arial" w:cs="Arial"/>
                <w:sz w:val="18"/>
              </w:rPr>
              <w:t>Činnosti v oblasti nehnuteľností (68), odborné, vedecké a tech</w:t>
            </w:r>
            <w:r w:rsidRPr="003E32A2">
              <w:rPr>
                <w:rFonts w:ascii="Arial" w:hAnsi="Arial" w:cs="Arial"/>
                <w:sz w:val="18"/>
              </w:rPr>
              <w:softHyphen/>
              <w:t>nic</w:t>
            </w:r>
            <w:r w:rsidRPr="003E32A2">
              <w:rPr>
                <w:rFonts w:ascii="Arial" w:hAnsi="Arial" w:cs="Arial"/>
                <w:sz w:val="18"/>
              </w:rPr>
              <w:softHyphen/>
              <w:t>ké činnosti (69 až 74), administratívne a podporné služby (77 až 82)</w:t>
            </w:r>
          </w:p>
        </w:tc>
      </w:tr>
      <w:tr w:rsidR="00F859F7" w:rsidRPr="003E32A2" w14:paraId="74E40F12" w14:textId="77777777" w:rsidTr="00D03395">
        <w:trPr>
          <w:trHeight w:hRule="exact" w:val="79"/>
        </w:trPr>
        <w:tc>
          <w:tcPr>
            <w:tcW w:w="284" w:type="dxa"/>
          </w:tcPr>
          <w:p w14:paraId="52AB96C2" w14:textId="77777777" w:rsidR="00F859F7" w:rsidRPr="003E32A2" w:rsidRDefault="00F859F7" w:rsidP="00D03395">
            <w:pPr>
              <w:tabs>
                <w:tab w:val="left" w:pos="426"/>
              </w:tabs>
              <w:rPr>
                <w:rFonts w:ascii="Arial" w:hAnsi="Arial" w:cs="Arial"/>
                <w:sz w:val="18"/>
                <w:vertAlign w:val="superscript"/>
              </w:rPr>
            </w:pPr>
          </w:p>
        </w:tc>
        <w:tc>
          <w:tcPr>
            <w:tcW w:w="3189" w:type="dxa"/>
          </w:tcPr>
          <w:p w14:paraId="1BC36752" w14:textId="77777777" w:rsidR="00F859F7" w:rsidRPr="003E32A2" w:rsidRDefault="00F859F7" w:rsidP="00D03395">
            <w:pPr>
              <w:tabs>
                <w:tab w:val="left" w:pos="426"/>
              </w:tabs>
              <w:rPr>
                <w:rFonts w:ascii="Arial" w:hAnsi="Arial" w:cs="Arial"/>
                <w:sz w:val="18"/>
              </w:rPr>
            </w:pPr>
          </w:p>
        </w:tc>
        <w:tc>
          <w:tcPr>
            <w:tcW w:w="162" w:type="dxa"/>
          </w:tcPr>
          <w:p w14:paraId="325F7C46" w14:textId="77777777" w:rsidR="00F859F7" w:rsidRPr="003E32A2" w:rsidRDefault="00F859F7" w:rsidP="00D03395">
            <w:pPr>
              <w:tabs>
                <w:tab w:val="left" w:pos="426"/>
              </w:tabs>
              <w:rPr>
                <w:rFonts w:ascii="Arial" w:hAnsi="Arial" w:cs="Arial"/>
                <w:sz w:val="18"/>
              </w:rPr>
            </w:pPr>
          </w:p>
        </w:tc>
        <w:tc>
          <w:tcPr>
            <w:tcW w:w="5528" w:type="dxa"/>
            <w:gridSpan w:val="4"/>
          </w:tcPr>
          <w:p w14:paraId="142F47D9" w14:textId="77777777" w:rsidR="00F859F7" w:rsidRPr="003E32A2" w:rsidRDefault="00F859F7" w:rsidP="00D03395">
            <w:pPr>
              <w:tabs>
                <w:tab w:val="left" w:pos="426"/>
              </w:tabs>
              <w:rPr>
                <w:rFonts w:ascii="Arial" w:hAnsi="Arial" w:cs="Arial"/>
                <w:sz w:val="18"/>
              </w:rPr>
            </w:pPr>
          </w:p>
        </w:tc>
      </w:tr>
      <w:tr w:rsidR="00F859F7" w:rsidRPr="003E32A2" w14:paraId="2DDCCB8C" w14:textId="77777777" w:rsidTr="00D03395">
        <w:tc>
          <w:tcPr>
            <w:tcW w:w="284" w:type="dxa"/>
          </w:tcPr>
          <w:p w14:paraId="6C230B11" w14:textId="77777777" w:rsidR="00F859F7" w:rsidRPr="003E32A2" w:rsidRDefault="00F859F7" w:rsidP="00D03395">
            <w:pPr>
              <w:tabs>
                <w:tab w:val="left" w:pos="426"/>
              </w:tabs>
              <w:rPr>
                <w:rFonts w:ascii="Arial" w:hAnsi="Arial" w:cs="Arial"/>
                <w:sz w:val="18"/>
                <w:vertAlign w:val="superscript"/>
              </w:rPr>
            </w:pPr>
          </w:p>
        </w:tc>
        <w:tc>
          <w:tcPr>
            <w:tcW w:w="3189" w:type="dxa"/>
          </w:tcPr>
          <w:p w14:paraId="176C69D0"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Verejná správa</w:t>
            </w:r>
          </w:p>
        </w:tc>
        <w:tc>
          <w:tcPr>
            <w:tcW w:w="162" w:type="dxa"/>
          </w:tcPr>
          <w:p w14:paraId="352413ED" w14:textId="77777777" w:rsidR="00F859F7" w:rsidRPr="003E32A2" w:rsidRDefault="00F859F7" w:rsidP="00D03395">
            <w:pPr>
              <w:tabs>
                <w:tab w:val="left" w:pos="426"/>
              </w:tabs>
              <w:rPr>
                <w:rFonts w:ascii="Arial" w:hAnsi="Arial" w:cs="Arial"/>
                <w:sz w:val="18"/>
              </w:rPr>
            </w:pPr>
          </w:p>
        </w:tc>
        <w:tc>
          <w:tcPr>
            <w:tcW w:w="5528" w:type="dxa"/>
            <w:gridSpan w:val="4"/>
          </w:tcPr>
          <w:p w14:paraId="441D29E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Verejná správa a obrana; povinné sociálne zabezpečenie (84)</w:t>
            </w:r>
          </w:p>
        </w:tc>
      </w:tr>
      <w:tr w:rsidR="00F859F7" w:rsidRPr="003E32A2" w14:paraId="1B248BAB" w14:textId="77777777" w:rsidTr="00D03395">
        <w:trPr>
          <w:trHeight w:hRule="exact" w:val="79"/>
        </w:trPr>
        <w:tc>
          <w:tcPr>
            <w:tcW w:w="284" w:type="dxa"/>
          </w:tcPr>
          <w:p w14:paraId="0A798AC9" w14:textId="77777777" w:rsidR="00F859F7" w:rsidRPr="003E32A2" w:rsidRDefault="00F859F7" w:rsidP="00D03395">
            <w:pPr>
              <w:tabs>
                <w:tab w:val="left" w:pos="426"/>
              </w:tabs>
              <w:rPr>
                <w:rFonts w:ascii="Arial" w:hAnsi="Arial" w:cs="Arial"/>
                <w:sz w:val="18"/>
                <w:vertAlign w:val="superscript"/>
              </w:rPr>
            </w:pPr>
          </w:p>
        </w:tc>
        <w:tc>
          <w:tcPr>
            <w:tcW w:w="3189" w:type="dxa"/>
          </w:tcPr>
          <w:p w14:paraId="73CDFB16" w14:textId="77777777" w:rsidR="00F859F7" w:rsidRPr="003E32A2" w:rsidRDefault="00F859F7" w:rsidP="00D03395">
            <w:pPr>
              <w:tabs>
                <w:tab w:val="left" w:pos="426"/>
              </w:tabs>
              <w:rPr>
                <w:rFonts w:ascii="Arial" w:hAnsi="Arial" w:cs="Arial"/>
                <w:sz w:val="18"/>
              </w:rPr>
            </w:pPr>
          </w:p>
        </w:tc>
        <w:tc>
          <w:tcPr>
            <w:tcW w:w="162" w:type="dxa"/>
          </w:tcPr>
          <w:p w14:paraId="4026726E" w14:textId="77777777" w:rsidR="00F859F7" w:rsidRPr="003E32A2" w:rsidRDefault="00F859F7" w:rsidP="00D03395">
            <w:pPr>
              <w:tabs>
                <w:tab w:val="left" w:pos="426"/>
              </w:tabs>
              <w:rPr>
                <w:rFonts w:ascii="Arial" w:hAnsi="Arial" w:cs="Arial"/>
                <w:sz w:val="18"/>
              </w:rPr>
            </w:pPr>
          </w:p>
        </w:tc>
        <w:tc>
          <w:tcPr>
            <w:tcW w:w="5528" w:type="dxa"/>
            <w:gridSpan w:val="4"/>
          </w:tcPr>
          <w:p w14:paraId="1E00AE1F" w14:textId="77777777" w:rsidR="00F859F7" w:rsidRPr="003E32A2" w:rsidRDefault="00F859F7" w:rsidP="00D03395">
            <w:pPr>
              <w:tabs>
                <w:tab w:val="left" w:pos="426"/>
              </w:tabs>
              <w:rPr>
                <w:rFonts w:ascii="Arial" w:hAnsi="Arial" w:cs="Arial"/>
                <w:sz w:val="18"/>
              </w:rPr>
            </w:pPr>
          </w:p>
        </w:tc>
      </w:tr>
      <w:tr w:rsidR="00F859F7" w:rsidRPr="003E32A2" w14:paraId="401C2ED0" w14:textId="77777777" w:rsidTr="00D03395">
        <w:tc>
          <w:tcPr>
            <w:tcW w:w="284" w:type="dxa"/>
          </w:tcPr>
          <w:p w14:paraId="640EDFA2" w14:textId="77777777" w:rsidR="00F859F7" w:rsidRPr="003E32A2" w:rsidRDefault="00F859F7" w:rsidP="00D03395">
            <w:pPr>
              <w:tabs>
                <w:tab w:val="left" w:pos="426"/>
              </w:tabs>
              <w:rPr>
                <w:rFonts w:ascii="Arial" w:hAnsi="Arial" w:cs="Arial"/>
                <w:sz w:val="18"/>
                <w:vertAlign w:val="superscript"/>
              </w:rPr>
            </w:pPr>
          </w:p>
        </w:tc>
        <w:tc>
          <w:tcPr>
            <w:tcW w:w="3189" w:type="dxa"/>
          </w:tcPr>
          <w:p w14:paraId="29A632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Služby</w:t>
            </w:r>
          </w:p>
        </w:tc>
        <w:tc>
          <w:tcPr>
            <w:tcW w:w="162" w:type="dxa"/>
          </w:tcPr>
          <w:p w14:paraId="67F5D4FA" w14:textId="77777777" w:rsidR="00F859F7" w:rsidRPr="003E32A2" w:rsidRDefault="00F859F7" w:rsidP="00D03395">
            <w:pPr>
              <w:tabs>
                <w:tab w:val="left" w:pos="426"/>
              </w:tabs>
              <w:rPr>
                <w:rFonts w:ascii="Arial" w:hAnsi="Arial" w:cs="Arial"/>
                <w:sz w:val="18"/>
              </w:rPr>
            </w:pPr>
          </w:p>
        </w:tc>
        <w:tc>
          <w:tcPr>
            <w:tcW w:w="5528" w:type="dxa"/>
            <w:gridSpan w:val="4"/>
          </w:tcPr>
          <w:p w14:paraId="5CF863DE" w14:textId="77777777" w:rsidR="00F859F7" w:rsidRPr="003E32A2" w:rsidRDefault="00F859F7" w:rsidP="00D03395">
            <w:pPr>
              <w:tabs>
                <w:tab w:val="left" w:pos="426"/>
              </w:tabs>
              <w:rPr>
                <w:rFonts w:ascii="Arial" w:hAnsi="Arial" w:cs="Arial"/>
                <w:sz w:val="18"/>
                <w:szCs w:val="18"/>
              </w:rPr>
            </w:pPr>
            <w:r w:rsidRPr="003E32A2">
              <w:rPr>
                <w:rFonts w:ascii="Arial" w:hAnsi="Arial" w:cs="Arial"/>
                <w:sz w:val="18"/>
                <w:szCs w:val="18"/>
              </w:rPr>
              <w:t>Veľkoobchod a maloobchod; oprava motorových vozidiel a motocyklov (45 až 47); Doprava a skladovanie (49 až 53); Informácie a komunikácia (58 až 63); Činnosti v oblasti nehnuteľností (68); Odborné, vedecké a technické činnosti (69 až 71, 73, 74); Administratívne a podporné služby (77 až 82)</w:t>
            </w:r>
          </w:p>
        </w:tc>
      </w:tr>
    </w:tbl>
    <w:p w14:paraId="143CC25F" w14:textId="77777777" w:rsidR="00F859F7" w:rsidRDefault="00F859F7" w:rsidP="00F859F7">
      <w:pPr>
        <w:tabs>
          <w:tab w:val="left" w:pos="426"/>
        </w:tabs>
        <w:rPr>
          <w:rFonts w:ascii="Arial" w:hAnsi="Arial" w:cs="Arial"/>
          <w:color w:val="FF0000"/>
          <w:szCs w:val="22"/>
        </w:rPr>
      </w:pPr>
    </w:p>
    <w:p w14:paraId="79F9840F" w14:textId="77777777" w:rsidR="00F859F7" w:rsidRDefault="00F859F7" w:rsidP="00F859F7">
      <w:pPr>
        <w:tabs>
          <w:tab w:val="left" w:pos="426"/>
        </w:tabs>
        <w:rPr>
          <w:rFonts w:ascii="Arial" w:hAnsi="Arial" w:cs="Arial"/>
          <w:color w:val="FF0000"/>
          <w:szCs w:val="22"/>
        </w:rPr>
      </w:pPr>
    </w:p>
    <w:p w14:paraId="744C3393" w14:textId="77777777" w:rsidR="00F859F7" w:rsidRDefault="00F859F7" w:rsidP="00F859F7">
      <w:pPr>
        <w:tabs>
          <w:tab w:val="left" w:pos="426"/>
        </w:tabs>
        <w:rPr>
          <w:rFonts w:ascii="Arial" w:hAnsi="Arial" w:cs="Arial"/>
          <w:color w:val="FF0000"/>
          <w:szCs w:val="22"/>
        </w:rPr>
      </w:pPr>
    </w:p>
    <w:p w14:paraId="2A637F9F" w14:textId="04383E9B" w:rsidR="00F859F7" w:rsidRDefault="00F859F7" w:rsidP="00F859F7">
      <w:pPr>
        <w:tabs>
          <w:tab w:val="left" w:pos="426"/>
        </w:tabs>
        <w:rPr>
          <w:rFonts w:ascii="Arial" w:hAnsi="Arial" w:cs="Arial"/>
          <w:color w:val="FF0000"/>
          <w:szCs w:val="22"/>
        </w:rPr>
      </w:pPr>
    </w:p>
    <w:p w14:paraId="7CC66060" w14:textId="35B2C1EB" w:rsidR="00D271A4" w:rsidRPr="005E2472" w:rsidRDefault="00D271A4" w:rsidP="00F859F7">
      <w:pPr>
        <w:tabs>
          <w:tab w:val="left" w:pos="426"/>
        </w:tabs>
        <w:rPr>
          <w:rFonts w:ascii="Arial" w:hAnsi="Arial" w:cs="Arial"/>
          <w:vanish/>
          <w:color w:val="FF0000"/>
          <w:szCs w:val="22"/>
          <w:specVanish/>
        </w:rPr>
      </w:pPr>
    </w:p>
    <w:p w14:paraId="25C62F09" w14:textId="7B07AB02" w:rsidR="005E2472" w:rsidRDefault="005E2472" w:rsidP="00F859F7">
      <w:pPr>
        <w:tabs>
          <w:tab w:val="left" w:pos="426"/>
        </w:tabs>
        <w:rPr>
          <w:rFonts w:ascii="Arial" w:hAnsi="Arial" w:cs="Arial"/>
          <w:color w:val="FF0000"/>
          <w:szCs w:val="22"/>
        </w:rPr>
      </w:pPr>
      <w:r>
        <w:rPr>
          <w:rFonts w:ascii="Arial" w:hAnsi="Arial" w:cs="Arial"/>
          <w:color w:val="FF0000"/>
          <w:szCs w:val="22"/>
        </w:rPr>
        <w:t xml:space="preserve"> </w:t>
      </w:r>
    </w:p>
    <w:p w14:paraId="325F2114" w14:textId="3EF06273" w:rsidR="00F859F7" w:rsidRPr="003E32A2" w:rsidRDefault="005E2472" w:rsidP="00F859F7">
      <w:pPr>
        <w:tabs>
          <w:tab w:val="left" w:pos="426"/>
        </w:tabs>
        <w:rPr>
          <w:rFonts w:ascii="Arial" w:hAnsi="Arial" w:cs="Arial"/>
          <w:b/>
          <w:szCs w:val="22"/>
        </w:rPr>
      </w:pPr>
      <w:r>
        <w:rPr>
          <w:rFonts w:ascii="Arial" w:hAnsi="Arial" w:cs="Arial"/>
          <w:color w:val="FF0000"/>
          <w:szCs w:val="22"/>
        </w:rPr>
        <w:br w:type="column"/>
      </w:r>
      <w:r w:rsidR="00F859F7" w:rsidRPr="003E32A2">
        <w:rPr>
          <w:rFonts w:ascii="Arial" w:hAnsi="Arial" w:cs="Arial"/>
          <w:b/>
          <w:szCs w:val="22"/>
        </w:rPr>
        <w:lastRenderedPageBreak/>
        <w:t xml:space="preserve">Hrubý domáci produkt </w:t>
      </w:r>
    </w:p>
    <w:p w14:paraId="0684D8B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Hrubý domáci produkt</w:t>
      </w:r>
      <w:r w:rsidRPr="003E32A2">
        <w:rPr>
          <w:rFonts w:ascii="Arial" w:hAnsi="Arial" w:cs="Arial"/>
          <w:szCs w:val="22"/>
        </w:rPr>
        <w:t xml:space="preserve"> (HDP) v trhových cenách predstavuje konečný výsledok činnosti rezident</w:t>
      </w:r>
      <w:r w:rsidRPr="003E32A2">
        <w:rPr>
          <w:rFonts w:ascii="Arial" w:hAnsi="Arial" w:cs="Arial"/>
          <w:szCs w:val="22"/>
        </w:rPr>
        <w:softHyphen/>
        <w:t xml:space="preserve">ských jednotiek v sledovanom období. </w:t>
      </w:r>
    </w:p>
    <w:p w14:paraId="317B36F5"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HDP sa kvantifikuje tromi spôsobmi: </w:t>
      </w:r>
    </w:p>
    <w:p w14:paraId="5EF8113F" w14:textId="77777777" w:rsidR="00F859F7" w:rsidRPr="003E32A2" w:rsidRDefault="00F859F7" w:rsidP="00F859F7">
      <w:pPr>
        <w:tabs>
          <w:tab w:val="left" w:pos="426"/>
        </w:tabs>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Výrobná metóda</w:t>
      </w:r>
      <w:r w:rsidRPr="003E32A2">
        <w:rPr>
          <w:rFonts w:ascii="Arial" w:hAnsi="Arial" w:cs="Arial"/>
          <w:szCs w:val="22"/>
        </w:rPr>
        <w:t xml:space="preserve"> je súčtom hrubej pridanej hodnoty inštitucionálnych sektorov alebo odvetví v zá</w:t>
      </w:r>
      <w:r w:rsidRPr="003E32A2">
        <w:rPr>
          <w:rFonts w:ascii="Arial" w:hAnsi="Arial" w:cs="Arial"/>
          <w:szCs w:val="22"/>
        </w:rPr>
        <w:softHyphen/>
        <w:t>kladných cenách plus dane mínus subvencie na produkty (čisté dane z produktov), ktoré nie sú alokované do sektorov alebo odvetví.</w:t>
      </w:r>
    </w:p>
    <w:p w14:paraId="6DBA7939" w14:textId="77777777" w:rsidR="00F859F7" w:rsidRPr="003E32A2" w:rsidRDefault="00F859F7" w:rsidP="00F859F7">
      <w:pPr>
        <w:tabs>
          <w:tab w:val="left" w:pos="426"/>
        </w:tabs>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Výdavková metóda</w:t>
      </w:r>
      <w:r w:rsidRPr="003E32A2">
        <w:rPr>
          <w:rFonts w:ascii="Arial" w:hAnsi="Arial" w:cs="Arial"/>
          <w:szCs w:val="22"/>
        </w:rPr>
        <w:t xml:space="preserve"> je súčtom konečného domáceho použitia výrobkov a služieb (konečná spotreba a tvorba hrubého kapitálu) plus vývoz výrobkov a služieb mínus dovoz výrobkov a služieb.</w:t>
      </w:r>
    </w:p>
    <w:p w14:paraId="25C969A8" w14:textId="77777777" w:rsidR="00F859F7" w:rsidRPr="003E32A2" w:rsidRDefault="00F859F7" w:rsidP="00F859F7">
      <w:pPr>
        <w:tabs>
          <w:tab w:val="left" w:pos="426"/>
        </w:tabs>
        <w:spacing w:after="100"/>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Dôchodková metóda</w:t>
      </w:r>
      <w:r w:rsidRPr="003E32A2">
        <w:rPr>
          <w:rFonts w:ascii="Arial" w:hAnsi="Arial" w:cs="Arial"/>
          <w:szCs w:val="22"/>
        </w:rPr>
        <w:t xml:space="preserve"> je súčtom odmien zamestnancov, daní z produkcie a dovozu mínus subvencie (čisté dane z produkcie), hrubého prevádzkového prebytku a zmiešaných dôchodkov za celú ekono</w:t>
      </w:r>
      <w:r w:rsidRPr="003E32A2">
        <w:rPr>
          <w:rFonts w:ascii="Arial" w:hAnsi="Arial" w:cs="Arial"/>
          <w:szCs w:val="22"/>
        </w:rPr>
        <w:softHyphen/>
        <w:t>miku.</w:t>
      </w:r>
    </w:p>
    <w:p w14:paraId="3AE725E0" w14:textId="7D8FE65B"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HDP je revidovaný na základe spresnených štvrťročných a ročných zdrojových údajov a</w:t>
      </w:r>
      <w:r w:rsidR="00664149">
        <w:rPr>
          <w:rFonts w:ascii="Arial" w:hAnsi="Arial" w:cs="Arial"/>
          <w:szCs w:val="22"/>
        </w:rPr>
        <w:t> </w:t>
      </w:r>
      <w:r w:rsidRPr="003E32A2">
        <w:rPr>
          <w:rFonts w:ascii="Arial" w:hAnsi="Arial" w:cs="Arial"/>
          <w:szCs w:val="22"/>
        </w:rPr>
        <w:t>metodických zmien.</w:t>
      </w:r>
    </w:p>
    <w:p w14:paraId="50A4E607" w14:textId="03446C6D"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Čistý domáci produkt</w:t>
      </w:r>
      <w:r w:rsidRPr="003E32A2">
        <w:rPr>
          <w:rFonts w:ascii="Arial" w:hAnsi="Arial" w:cs="Arial"/>
          <w:szCs w:val="22"/>
        </w:rPr>
        <w:t xml:space="preserve"> - je hrubý domáci produkt znížený o spotrebu fixného kapitálu.</w:t>
      </w:r>
      <w:r w:rsidR="00DD479B">
        <w:rPr>
          <w:rFonts w:ascii="Arial" w:hAnsi="Arial" w:cs="Arial"/>
          <w:szCs w:val="22"/>
        </w:rPr>
        <w:t xml:space="preserve"> </w:t>
      </w:r>
    </w:p>
    <w:p w14:paraId="61198AB5" w14:textId="6E9A223A" w:rsidR="00F859F7" w:rsidRPr="003E32A2" w:rsidRDefault="00F859F7" w:rsidP="00F859F7">
      <w:pPr>
        <w:tabs>
          <w:tab w:val="left" w:pos="426"/>
        </w:tabs>
        <w:spacing w:after="100"/>
        <w:rPr>
          <w:rFonts w:ascii="Arial" w:hAnsi="Arial" w:cs="Arial"/>
          <w:i/>
          <w:szCs w:val="22"/>
        </w:rPr>
      </w:pPr>
      <w:r w:rsidRPr="003E32A2">
        <w:rPr>
          <w:rFonts w:ascii="Arial" w:hAnsi="Arial" w:cs="Arial"/>
          <w:szCs w:val="22"/>
          <w:u w:val="single"/>
        </w:rPr>
        <w:t>Hrubý národný dôchodok</w:t>
      </w:r>
      <w:r w:rsidRPr="003E32A2">
        <w:rPr>
          <w:rFonts w:ascii="Arial" w:hAnsi="Arial" w:cs="Arial"/>
          <w:szCs w:val="22"/>
        </w:rPr>
        <w:t xml:space="preserve"> - k hrubému domácemu produktu sa pripočítavajú prvotné dôchodky prijaté zo zahraničia a odčítavajú sa prvotné dôchodky platené do zahraničia.</w:t>
      </w:r>
      <w:r w:rsidR="00DD479B">
        <w:rPr>
          <w:rFonts w:ascii="Arial" w:hAnsi="Arial" w:cs="Arial"/>
          <w:i/>
          <w:szCs w:val="22"/>
        </w:rPr>
        <w:t xml:space="preserve"> </w:t>
      </w:r>
    </w:p>
    <w:p w14:paraId="2BEB3EBC" w14:textId="21A1FD9A" w:rsidR="00F859F7" w:rsidRDefault="00F859F7" w:rsidP="00F859F7">
      <w:pPr>
        <w:tabs>
          <w:tab w:val="left" w:pos="426"/>
        </w:tabs>
        <w:rPr>
          <w:rFonts w:ascii="Arial" w:hAnsi="Arial" w:cs="Arial"/>
          <w:szCs w:val="22"/>
        </w:rPr>
      </w:pPr>
      <w:r w:rsidRPr="003E32A2">
        <w:rPr>
          <w:rFonts w:ascii="Arial" w:hAnsi="Arial" w:cs="Arial"/>
          <w:szCs w:val="22"/>
          <w:u w:val="single"/>
        </w:rPr>
        <w:t>Zamestnanosť podľa metodiky ESA 2010</w:t>
      </w:r>
      <w:r w:rsidRPr="003E32A2">
        <w:rPr>
          <w:rFonts w:ascii="Arial" w:hAnsi="Arial" w:cs="Arial"/>
          <w:szCs w:val="22"/>
        </w:rPr>
        <w:t xml:space="preserve"> - je vyjadrená po</w:t>
      </w:r>
      <w:r w:rsidR="00CB648F">
        <w:rPr>
          <w:rFonts w:ascii="Arial" w:hAnsi="Arial" w:cs="Arial"/>
          <w:szCs w:val="22"/>
        </w:rPr>
        <w:t>čtom osôb (zamestnancov a samo</w:t>
      </w:r>
      <w:r w:rsidRPr="003E32A2">
        <w:rPr>
          <w:rFonts w:ascii="Arial" w:hAnsi="Arial" w:cs="Arial"/>
          <w:szCs w:val="22"/>
        </w:rPr>
        <w:t>za</w:t>
      </w:r>
      <w:r w:rsidRPr="003E32A2">
        <w:rPr>
          <w:rFonts w:ascii="Arial" w:hAnsi="Arial" w:cs="Arial"/>
          <w:szCs w:val="22"/>
        </w:rPr>
        <w:softHyphen/>
        <w:t>mest</w:t>
      </w:r>
      <w:r w:rsidRPr="003E32A2">
        <w:rPr>
          <w:rFonts w:ascii="Arial" w:hAnsi="Arial" w:cs="Arial"/>
          <w:szCs w:val="22"/>
        </w:rPr>
        <w:softHyphen/>
        <w:t>ná</w:t>
      </w:r>
      <w:r w:rsidRPr="003E32A2">
        <w:rPr>
          <w:rFonts w:ascii="Arial" w:hAnsi="Arial" w:cs="Arial"/>
          <w:szCs w:val="22"/>
        </w:rPr>
        <w:softHyphen/>
        <w:t>va</w:t>
      </w:r>
      <w:r w:rsidRPr="003E32A2">
        <w:rPr>
          <w:rFonts w:ascii="Arial" w:hAnsi="Arial" w:cs="Arial"/>
          <w:szCs w:val="22"/>
        </w:rPr>
        <w:softHyphen/>
        <w:t>te</w:t>
      </w:r>
      <w:r w:rsidRPr="003E32A2">
        <w:rPr>
          <w:rFonts w:ascii="Arial" w:hAnsi="Arial" w:cs="Arial"/>
          <w:szCs w:val="22"/>
        </w:rPr>
        <w:softHyphen/>
        <w:t>ľov), ktorí sú zapojení do výrobnej činnosti spadajúcej do rámca výroby v systéme národných účtov. Pri konštrukcii ukazovateľov účtov práce sa používa</w:t>
      </w:r>
      <w:r w:rsidR="00DD479B">
        <w:rPr>
          <w:rFonts w:ascii="Arial" w:hAnsi="Arial" w:cs="Arial"/>
          <w:szCs w:val="22"/>
        </w:rPr>
        <w:t xml:space="preserve"> </w:t>
      </w:r>
      <w:r w:rsidRPr="003E32A2">
        <w:rPr>
          <w:rFonts w:ascii="Arial" w:hAnsi="Arial" w:cs="Arial"/>
          <w:szCs w:val="22"/>
        </w:rPr>
        <w:t>metóda bilancovania, t. j. bilancuje sa ponuka pracovných síl s dopytom. Ide o porovnávanie a harmonizovanie dát získaných z podni</w:t>
      </w:r>
      <w:r w:rsidRPr="003E32A2">
        <w:rPr>
          <w:rFonts w:ascii="Arial" w:hAnsi="Arial" w:cs="Arial"/>
          <w:szCs w:val="22"/>
        </w:rPr>
        <w:softHyphen/>
        <w:t>ko</w:t>
      </w:r>
      <w:r w:rsidRPr="003E32A2">
        <w:rPr>
          <w:rFonts w:ascii="Arial" w:hAnsi="Arial" w:cs="Arial"/>
          <w:szCs w:val="22"/>
        </w:rPr>
        <w:softHyphen/>
        <w:t>vých zisťovaní s dátami z výberového zisťovania pracovných síl v domácnostiach tak, aby zodpovedali definíciám ILO a metodike ESA 2010. Podľa metodiky ESA 2010 je zamestnanosť vyjadrená v domá</w:t>
      </w:r>
      <w:r w:rsidRPr="003E32A2">
        <w:rPr>
          <w:rFonts w:ascii="Arial" w:hAnsi="Arial" w:cs="Arial"/>
          <w:szCs w:val="22"/>
        </w:rPr>
        <w:softHyphen/>
        <w:t>com koncepte. V tomto koncepte sa získavajú dáta z podnikových zisťovaní. V záujme porov</w:t>
      </w:r>
      <w:r w:rsidRPr="003E32A2">
        <w:rPr>
          <w:rFonts w:ascii="Arial" w:hAnsi="Arial" w:cs="Arial"/>
          <w:szCs w:val="22"/>
        </w:rPr>
        <w:softHyphen/>
        <w:t>nateľnosti sa dáta z výberových zisťovaní pracovných síl (zisťované na základe národného konceptu) upravujú o položky ako počet rezidentov pracujúcich v zahraničí, nerezidentov prichádzajúcich zo zahraničia, zamestnancov v kolektívnych domácnostiach, ž</w:t>
      </w:r>
      <w:r w:rsidR="00664149">
        <w:rPr>
          <w:rFonts w:ascii="Arial" w:hAnsi="Arial" w:cs="Arial"/>
          <w:szCs w:val="22"/>
        </w:rPr>
        <w:t>ien na materskej dovolenke a po</w:t>
      </w:r>
      <w:r w:rsidRPr="003E32A2">
        <w:rPr>
          <w:rFonts w:ascii="Arial" w:hAnsi="Arial" w:cs="Arial"/>
          <w:szCs w:val="22"/>
        </w:rPr>
        <w:t>dob</w:t>
      </w:r>
      <w:r w:rsidRPr="003E32A2">
        <w:rPr>
          <w:rFonts w:ascii="Arial" w:hAnsi="Arial" w:cs="Arial"/>
          <w:szCs w:val="22"/>
        </w:rPr>
        <w:softHyphen/>
        <w:t>ne.</w:t>
      </w:r>
      <w:r w:rsidR="00DD479B">
        <w:rPr>
          <w:rFonts w:ascii="Arial" w:hAnsi="Arial" w:cs="Arial"/>
          <w:szCs w:val="22"/>
        </w:rPr>
        <w:t xml:space="preserve"> </w:t>
      </w:r>
    </w:p>
    <w:p w14:paraId="09234310" w14:textId="77777777" w:rsidR="00E26E62" w:rsidRDefault="00E26E62" w:rsidP="00F859F7">
      <w:pPr>
        <w:tabs>
          <w:tab w:val="left" w:pos="426"/>
        </w:tabs>
        <w:rPr>
          <w:color w:val="000000"/>
        </w:rPr>
      </w:pPr>
    </w:p>
    <w:p w14:paraId="724B7CA9" w14:textId="61894AF9" w:rsidR="00E26E62" w:rsidRPr="00FE291D" w:rsidRDefault="00E26E62" w:rsidP="00F859F7">
      <w:pPr>
        <w:tabs>
          <w:tab w:val="left" w:pos="426"/>
        </w:tabs>
        <w:rPr>
          <w:rFonts w:ascii="Arial" w:hAnsi="Arial" w:cs="Arial"/>
          <w:szCs w:val="22"/>
        </w:rPr>
      </w:pPr>
      <w:r w:rsidRPr="00FE291D">
        <w:rPr>
          <w:rFonts w:ascii="Arial" w:hAnsi="Arial" w:cs="Arial"/>
          <w:szCs w:val="22"/>
          <w:u w:val="single"/>
        </w:rPr>
        <w:t>Produktivita práce</w:t>
      </w:r>
      <w:r w:rsidRPr="00FE291D">
        <w:rPr>
          <w:rFonts w:ascii="Arial" w:hAnsi="Arial" w:cs="Arial"/>
          <w:szCs w:val="22"/>
        </w:rPr>
        <w:t xml:space="preserve"> </w:t>
      </w:r>
      <w:r w:rsidRPr="00FE291D">
        <w:rPr>
          <w:rFonts w:ascii="Arial" w:hAnsi="Arial" w:cs="Arial"/>
          <w:szCs w:val="22"/>
          <w:u w:val="single"/>
        </w:rPr>
        <w:t>podľa metodiky ESA 2010</w:t>
      </w:r>
      <w:r w:rsidRPr="00FE291D">
        <w:rPr>
          <w:rFonts w:ascii="Arial" w:hAnsi="Arial" w:cs="Arial"/>
          <w:szCs w:val="22"/>
        </w:rPr>
        <w:t xml:space="preserve"> je vypočítaná ako podiel HDP na celkovú zamestnanosť v ekonomike podľa domáceho konceptu ESA 2010.</w:t>
      </w:r>
    </w:p>
    <w:p w14:paraId="7AD28B3C" w14:textId="77777777" w:rsidR="00F859F7" w:rsidRPr="00FE291D" w:rsidRDefault="00F859F7" w:rsidP="00CE7BAD">
      <w:pPr>
        <w:pStyle w:val="Nadpis2"/>
        <w:tabs>
          <w:tab w:val="left" w:pos="426"/>
        </w:tabs>
        <w:spacing w:before="200"/>
        <w:rPr>
          <w:rFonts w:cs="Arial"/>
          <w:sz w:val="22"/>
          <w:szCs w:val="22"/>
        </w:rPr>
      </w:pPr>
      <w:r w:rsidRPr="00FE291D">
        <w:rPr>
          <w:rFonts w:cs="Arial"/>
          <w:sz w:val="22"/>
          <w:szCs w:val="22"/>
        </w:rPr>
        <w:t xml:space="preserve">Cenový deflátor HDP </w:t>
      </w:r>
    </w:p>
    <w:p w14:paraId="7A346DEF"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Cenový deflátor HDP je súhrnný cenový index, vyjadrujúci vážený aritmetický priemer cenového vývoja v ekonomike oproti základnému obdobiu. Z neho je možné vypočítať cenové zmeny v ekono</w:t>
      </w:r>
      <w:r w:rsidRPr="003E32A2">
        <w:rPr>
          <w:rFonts w:ascii="Arial" w:hAnsi="Arial" w:cs="Arial"/>
          <w:szCs w:val="22"/>
        </w:rPr>
        <w:softHyphen/>
        <w:t>mi</w:t>
      </w:r>
      <w:r w:rsidRPr="003E32A2">
        <w:rPr>
          <w:rFonts w:ascii="Arial" w:hAnsi="Arial" w:cs="Arial"/>
          <w:szCs w:val="22"/>
        </w:rPr>
        <w:softHyphen/>
        <w:t>ke oproti rovnakému obdobiu minulého roku alebo oproti predchádzajúcemu obdobiu. Vypočítava sa ako pomer HDP v bežných a stálych cenách.</w:t>
      </w:r>
    </w:p>
    <w:p w14:paraId="486A74D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Tvorba a použitie dôchodkov v sektore domácností</w:t>
      </w:r>
    </w:p>
    <w:p w14:paraId="37104DA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Tvorba a použitie dôchodkov v sektore domácností sú vyčíslené na základe experimentálneho pre</w:t>
      </w:r>
      <w:r w:rsidRPr="003E32A2">
        <w:rPr>
          <w:rFonts w:ascii="Arial" w:hAnsi="Arial" w:cs="Arial"/>
          <w:szCs w:val="22"/>
        </w:rPr>
        <w:softHyphen/>
        <w:t>počtu podľa metodiky ESA 2010 zo štvrťročných národných účtov. Sú súčasťou celého systému ná</w:t>
      </w:r>
      <w:r w:rsidRPr="003E32A2">
        <w:rPr>
          <w:rFonts w:ascii="Arial" w:hAnsi="Arial" w:cs="Arial"/>
          <w:szCs w:val="22"/>
        </w:rPr>
        <w:softHyphen/>
        <w:t>rodných účtov a sú vzájomne prepojené s ostatný</w:t>
      </w:r>
      <w:r w:rsidRPr="003E32A2">
        <w:rPr>
          <w:rFonts w:ascii="Arial" w:hAnsi="Arial" w:cs="Arial"/>
          <w:szCs w:val="22"/>
        </w:rPr>
        <w:softHyphen/>
        <w:t>mi inštitucionálnymi sektormi národného hos</w:t>
      </w:r>
      <w:r w:rsidRPr="003E32A2">
        <w:rPr>
          <w:rFonts w:ascii="Arial" w:hAnsi="Arial" w:cs="Arial"/>
          <w:szCs w:val="22"/>
        </w:rPr>
        <w:softHyphen/>
        <w:t>po</w:t>
      </w:r>
      <w:r w:rsidRPr="003E32A2">
        <w:rPr>
          <w:rFonts w:ascii="Arial" w:hAnsi="Arial" w:cs="Arial"/>
          <w:szCs w:val="22"/>
        </w:rPr>
        <w:softHyphen/>
        <w:t>dár</w:t>
      </w:r>
      <w:r w:rsidRPr="003E32A2">
        <w:rPr>
          <w:rFonts w:ascii="Arial" w:hAnsi="Arial" w:cs="Arial"/>
          <w:szCs w:val="22"/>
        </w:rPr>
        <w:softHyphen/>
        <w:t>stva. V dôsledku toho sa vymedzenie položiek príjmov a výdavkov obyvateľstva odlišuje od iných šta</w:t>
      </w:r>
      <w:r w:rsidRPr="003E32A2">
        <w:rPr>
          <w:rFonts w:ascii="Arial" w:hAnsi="Arial" w:cs="Arial"/>
          <w:szCs w:val="22"/>
        </w:rPr>
        <w:softHyphen/>
        <w:t>tistík z tejto oblasti. Do sektora domácností patria jednotliví občania ako koneční spotrebitelia (spo</w:t>
      </w:r>
      <w:r w:rsidRPr="003E32A2">
        <w:rPr>
          <w:rFonts w:ascii="Arial" w:hAnsi="Arial" w:cs="Arial"/>
          <w:szCs w:val="22"/>
        </w:rPr>
        <w:softHyphen/>
        <w:t>trebiteľská do</w:t>
      </w:r>
      <w:r w:rsidRPr="003E32A2">
        <w:rPr>
          <w:rFonts w:ascii="Arial" w:hAnsi="Arial" w:cs="Arial"/>
          <w:szCs w:val="22"/>
        </w:rPr>
        <w:softHyphen/>
        <w:t>mácnosť) a fyzické osoby - podnikatelia, ktorí podnikajú podľa živnostenského zákona alebo iných právnych predpisov a nie sú zapísaní v obchodnom registri.</w:t>
      </w:r>
    </w:p>
    <w:p w14:paraId="07806780"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Odmeny zamestnancov</w:t>
      </w:r>
      <w:r w:rsidRPr="003E32A2">
        <w:rPr>
          <w:rFonts w:ascii="Arial" w:hAnsi="Arial" w:cs="Arial"/>
          <w:szCs w:val="22"/>
        </w:rPr>
        <w:t xml:space="preserve"> zahrnujú celkové odmeny v peňažnej podobe alebo v naturáliách, ktoré platí zamestnávateľ zamestnancovi ako odmenu za vykonanú prácu, ktorú zamestnanec vykonal počas daného účtovného obdobia. Členia sa na mzdy, platy a sociálne príspevky zamestnávateľov. So</w:t>
      </w:r>
      <w:r w:rsidRPr="003E32A2">
        <w:rPr>
          <w:rFonts w:ascii="Arial" w:hAnsi="Arial" w:cs="Arial"/>
          <w:szCs w:val="22"/>
        </w:rPr>
        <w:softHyphen/>
        <w:t>ciál</w:t>
      </w:r>
      <w:r w:rsidRPr="003E32A2">
        <w:rPr>
          <w:rFonts w:ascii="Arial" w:hAnsi="Arial" w:cs="Arial"/>
          <w:szCs w:val="22"/>
        </w:rPr>
        <w:softHyphen/>
        <w:t xml:space="preserve">ne príspevky zamestnávateľov sa ďalej členia na skutočné sociálne </w:t>
      </w:r>
      <w:r w:rsidRPr="003E32A2">
        <w:rPr>
          <w:rFonts w:ascii="Arial" w:hAnsi="Arial" w:cs="Arial"/>
          <w:szCs w:val="22"/>
        </w:rPr>
        <w:lastRenderedPageBreak/>
        <w:t>príspevky zamestnávateľov a im</w:t>
      </w:r>
      <w:r w:rsidRPr="003E32A2">
        <w:rPr>
          <w:rFonts w:ascii="Arial" w:hAnsi="Arial" w:cs="Arial"/>
          <w:szCs w:val="22"/>
        </w:rPr>
        <w:softHyphen/>
        <w:t>putované sociálne príspevky zamestnávateľov.</w:t>
      </w:r>
    </w:p>
    <w:p w14:paraId="640F4CD3" w14:textId="0C707073"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Dôchodky z majetku</w:t>
      </w:r>
      <w:r w:rsidRPr="003E32A2">
        <w:rPr>
          <w:rFonts w:ascii="Arial" w:hAnsi="Arial" w:cs="Arial"/>
          <w:szCs w:val="22"/>
        </w:rPr>
        <w:t xml:space="preserve"> vyplývajú z vlastníctva finančných aktív, t. j. vkladov, obligácií alebo hmotných</w:t>
      </w:r>
      <w:r w:rsidR="00DD479B">
        <w:rPr>
          <w:rFonts w:ascii="Arial" w:hAnsi="Arial" w:cs="Arial"/>
          <w:szCs w:val="22"/>
        </w:rPr>
        <w:t xml:space="preserve"> </w:t>
      </w:r>
      <w:r w:rsidRPr="003E32A2">
        <w:rPr>
          <w:rFonts w:ascii="Arial" w:hAnsi="Arial" w:cs="Arial"/>
          <w:szCs w:val="22"/>
        </w:rPr>
        <w:t>neprodukovaných aktív, ktoré vlastník získa za odmenu, že ich poskytol alebo dal k dispozícii inej inštitucionálnej jednotke. Dôchodky z vlastníctva zahrnujú úroky, rozdelené dôchodky korporácií (di</w:t>
      </w:r>
      <w:r w:rsidRPr="003E32A2">
        <w:rPr>
          <w:rFonts w:ascii="Arial" w:hAnsi="Arial" w:cs="Arial"/>
          <w:szCs w:val="22"/>
        </w:rPr>
        <w:softHyphen/>
        <w:t>videndy, výbery z dôchodkov kvázikorporácií), ostatné investičné dôchodky a ná</w:t>
      </w:r>
      <w:r w:rsidRPr="003E32A2">
        <w:rPr>
          <w:rFonts w:ascii="Arial" w:hAnsi="Arial" w:cs="Arial"/>
          <w:szCs w:val="22"/>
        </w:rPr>
        <w:softHyphen/>
        <w:t>jomné z pôdy.</w:t>
      </w:r>
    </w:p>
    <w:p w14:paraId="3A0324C0" w14:textId="58DF4449" w:rsidR="00F859F7" w:rsidRPr="003E32A2" w:rsidRDefault="00F859F7" w:rsidP="00F859F7">
      <w:pPr>
        <w:tabs>
          <w:tab w:val="left" w:pos="426"/>
        </w:tabs>
        <w:spacing w:after="100"/>
        <w:rPr>
          <w:rFonts w:ascii="Arial" w:hAnsi="Arial" w:cs="Arial"/>
          <w:szCs w:val="22"/>
          <w:u w:val="single"/>
        </w:rPr>
      </w:pPr>
      <w:r w:rsidRPr="003E32A2">
        <w:rPr>
          <w:rFonts w:ascii="Arial" w:hAnsi="Arial" w:cs="Arial"/>
          <w:szCs w:val="22"/>
          <w:u w:val="single"/>
        </w:rPr>
        <w:t>Bežné dane z dôchodkov a majetku</w:t>
      </w:r>
      <w:r w:rsidRPr="003E32A2">
        <w:rPr>
          <w:rFonts w:ascii="Arial" w:hAnsi="Arial" w:cs="Arial"/>
          <w:szCs w:val="22"/>
        </w:rPr>
        <w:t>, atď. majú charakter dane z dôchodkov, ako aj dane z majetku, ktoré sa platia pravidelne každé daňové obdobie.</w:t>
      </w:r>
      <w:r w:rsidR="00DD479B">
        <w:rPr>
          <w:rFonts w:ascii="Arial" w:hAnsi="Arial" w:cs="Arial"/>
          <w:szCs w:val="22"/>
        </w:rPr>
        <w:t xml:space="preserve"> </w:t>
      </w:r>
      <w:r w:rsidRPr="003E32A2">
        <w:rPr>
          <w:rFonts w:ascii="Arial" w:hAnsi="Arial" w:cs="Arial"/>
          <w:szCs w:val="22"/>
        </w:rPr>
        <w:t>Ide o transfery, pretože štát neposkytuje žiadnu protihodnotu individuálnej jednotke platiacej dane. Bežné dane z dôchodkov a majetku nezahrnujú dedičské dane, dane z pozostalosti</w:t>
      </w:r>
      <w:r w:rsidR="00DD479B">
        <w:rPr>
          <w:rFonts w:ascii="Arial" w:hAnsi="Arial" w:cs="Arial"/>
          <w:szCs w:val="22"/>
        </w:rPr>
        <w:t xml:space="preserve"> </w:t>
      </w:r>
      <w:r w:rsidRPr="003E32A2">
        <w:rPr>
          <w:rFonts w:ascii="Arial" w:hAnsi="Arial" w:cs="Arial"/>
          <w:szCs w:val="22"/>
        </w:rPr>
        <w:t>alebo</w:t>
      </w:r>
      <w:r w:rsidR="00DD479B">
        <w:rPr>
          <w:rFonts w:ascii="Arial" w:hAnsi="Arial" w:cs="Arial"/>
          <w:szCs w:val="22"/>
        </w:rPr>
        <w:t xml:space="preserve"> </w:t>
      </w:r>
      <w:r w:rsidRPr="003E32A2">
        <w:rPr>
          <w:rFonts w:ascii="Arial" w:hAnsi="Arial" w:cs="Arial"/>
          <w:szCs w:val="22"/>
        </w:rPr>
        <w:t>z</w:t>
      </w:r>
      <w:r w:rsidR="00DD479B">
        <w:rPr>
          <w:rFonts w:ascii="Arial" w:hAnsi="Arial" w:cs="Arial"/>
          <w:szCs w:val="22"/>
        </w:rPr>
        <w:t xml:space="preserve"> </w:t>
      </w:r>
      <w:r w:rsidRPr="003E32A2">
        <w:rPr>
          <w:rFonts w:ascii="Arial" w:hAnsi="Arial" w:cs="Arial"/>
          <w:szCs w:val="22"/>
        </w:rPr>
        <w:t>darov, príležitostné</w:t>
      </w:r>
      <w:r w:rsidR="00DD479B">
        <w:rPr>
          <w:rFonts w:ascii="Arial" w:hAnsi="Arial" w:cs="Arial"/>
          <w:szCs w:val="22"/>
        </w:rPr>
        <w:t xml:space="preserve"> </w:t>
      </w:r>
      <w:r w:rsidRPr="003E32A2">
        <w:rPr>
          <w:rFonts w:ascii="Arial" w:hAnsi="Arial" w:cs="Arial"/>
          <w:szCs w:val="22"/>
        </w:rPr>
        <w:t>alebo</w:t>
      </w:r>
      <w:r w:rsidR="00DD479B">
        <w:rPr>
          <w:rFonts w:ascii="Arial" w:hAnsi="Arial" w:cs="Arial"/>
          <w:szCs w:val="22"/>
        </w:rPr>
        <w:t xml:space="preserve"> </w:t>
      </w:r>
      <w:r w:rsidRPr="003E32A2">
        <w:rPr>
          <w:rFonts w:ascii="Arial" w:hAnsi="Arial" w:cs="Arial"/>
          <w:szCs w:val="22"/>
        </w:rPr>
        <w:t>mimoriadne</w:t>
      </w:r>
      <w:r w:rsidR="00DD479B">
        <w:rPr>
          <w:rFonts w:ascii="Arial" w:hAnsi="Arial" w:cs="Arial"/>
          <w:szCs w:val="22"/>
        </w:rPr>
        <w:t xml:space="preserve"> </w:t>
      </w:r>
      <w:r w:rsidRPr="003E32A2">
        <w:rPr>
          <w:rFonts w:ascii="Arial" w:hAnsi="Arial" w:cs="Arial"/>
          <w:szCs w:val="22"/>
        </w:rPr>
        <w:t>dane z kapitálu alebo majetku, dane z pôdy, budov alebo ostatných aktív (vlastných alebo prenajatých), ktoré sa po</w:t>
      </w:r>
      <w:r w:rsidRPr="003E32A2">
        <w:rPr>
          <w:rFonts w:ascii="Arial" w:hAnsi="Arial" w:cs="Arial"/>
          <w:szCs w:val="22"/>
        </w:rPr>
        <w:softHyphen/>
        <w:t>u</w:t>
      </w:r>
      <w:r w:rsidRPr="003E32A2">
        <w:rPr>
          <w:rFonts w:ascii="Arial" w:hAnsi="Arial" w:cs="Arial"/>
          <w:szCs w:val="22"/>
        </w:rPr>
        <w:softHyphen/>
        <w:t>žívajú vo výrobe.</w:t>
      </w:r>
    </w:p>
    <w:p w14:paraId="25A5BB62"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 xml:space="preserve">Čisté sociálne príspevky </w:t>
      </w:r>
      <w:r w:rsidRPr="003E32A2">
        <w:rPr>
          <w:rFonts w:ascii="Arial" w:hAnsi="Arial" w:cs="Arial"/>
          <w:szCs w:val="22"/>
        </w:rPr>
        <w:t xml:space="preserve">sú skutočné, alebo imputované príspevky domácností do schém sociálneho poistenia na vytvorenie rezerv na platbu sociálnych dávok. </w:t>
      </w:r>
    </w:p>
    <w:p w14:paraId="62126C13"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Sociálne dávky</w:t>
      </w:r>
      <w:r w:rsidRPr="003E32A2">
        <w:rPr>
          <w:rFonts w:ascii="Arial" w:hAnsi="Arial" w:cs="Arial"/>
          <w:szCs w:val="22"/>
        </w:rPr>
        <w:t xml:space="preserve"> (okrem naturálnych sociálnych transferov) pozostávajú z peňažných dávok sociálneho zabezpečenia, ostatných dávok sociálneho poistenia a z peňažných dávok sociálnej podpory. </w:t>
      </w:r>
    </w:p>
    <w:p w14:paraId="77C90E0F" w14:textId="77777777" w:rsidR="00F859F7" w:rsidRPr="003E32A2" w:rsidRDefault="00F859F7" w:rsidP="00CE7BAD">
      <w:pPr>
        <w:tabs>
          <w:tab w:val="left" w:pos="426"/>
        </w:tabs>
        <w:spacing w:after="120"/>
        <w:rPr>
          <w:rFonts w:ascii="Arial" w:hAnsi="Arial" w:cs="Arial"/>
          <w:szCs w:val="22"/>
        </w:rPr>
      </w:pPr>
      <w:r w:rsidRPr="003E32A2">
        <w:rPr>
          <w:rFonts w:ascii="Arial" w:hAnsi="Arial" w:cs="Arial"/>
          <w:szCs w:val="22"/>
          <w:u w:val="single"/>
        </w:rPr>
        <w:t>Ostatné bežné transfery</w:t>
      </w:r>
      <w:r w:rsidRPr="003E32A2">
        <w:rPr>
          <w:rFonts w:ascii="Arial" w:hAnsi="Arial" w:cs="Arial"/>
          <w:szCs w:val="22"/>
        </w:rPr>
        <w:t xml:space="preserve"> zahrnujú platby neživotného poistenia a rôzne bežné transfery, ktoré pred</w:t>
      </w:r>
      <w:r w:rsidRPr="003E32A2">
        <w:rPr>
          <w:rFonts w:ascii="Arial" w:hAnsi="Arial" w:cs="Arial"/>
          <w:szCs w:val="22"/>
        </w:rPr>
        <w:softHyphen/>
        <w:t>stavujú transfery neziskovým inštitúciám slúžiacim domácnostiam, transfery medzi domácnosťami, pokuty a penále, výhry, resp. stávky do výšky výhier, atď.</w:t>
      </w:r>
    </w:p>
    <w:p w14:paraId="772D4AA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Zahraničný obchod s tovarom</w:t>
      </w:r>
    </w:p>
    <w:p w14:paraId="1F952C5A" w14:textId="6E086F6D" w:rsidR="00F859F7" w:rsidRPr="003E32A2" w:rsidRDefault="00F859F7" w:rsidP="00F859F7">
      <w:pPr>
        <w:tabs>
          <w:tab w:val="left" w:pos="426"/>
        </w:tabs>
        <w:spacing w:after="100"/>
        <w:rPr>
          <w:rFonts w:ascii="Arial" w:hAnsi="Arial" w:cs="Arial"/>
          <w:iCs/>
          <w:szCs w:val="22"/>
        </w:rPr>
      </w:pPr>
      <w:r w:rsidRPr="003E32A2">
        <w:rPr>
          <w:rFonts w:ascii="Arial" w:hAnsi="Arial" w:cs="Arial"/>
          <w:iCs/>
          <w:szCs w:val="22"/>
        </w:rPr>
        <w:t>Štatistika zahraničného obchodu</w:t>
      </w:r>
      <w:r w:rsidR="00AB41F4" w:rsidRPr="003E32A2">
        <w:rPr>
          <w:rFonts w:ascii="Arial" w:hAnsi="Arial" w:cs="Arial"/>
          <w:iCs/>
          <w:szCs w:val="22"/>
        </w:rPr>
        <w:t xml:space="preserve"> s tovarom</w:t>
      </w:r>
      <w:r w:rsidRPr="003E32A2">
        <w:rPr>
          <w:rFonts w:ascii="Arial" w:hAnsi="Arial" w:cs="Arial"/>
          <w:iCs/>
          <w:szCs w:val="22"/>
        </w:rPr>
        <w:t xml:space="preserve"> vo všeobecnosti zaznamenáva pohyb tovaru medzi Slovenskou republikou a zvyškom sveta. V dovoze je zahrnutý tovar, ktorý vstúpil do Slovenskej republiky, aby bol pridaný do jej materiálových zdrojov. Súčasťou dovozu je aj tovar dovážaný na spracovanie</w:t>
      </w:r>
      <w:r w:rsidR="00AB41F4" w:rsidRPr="003E32A2">
        <w:rPr>
          <w:rFonts w:ascii="Arial" w:hAnsi="Arial" w:cs="Arial"/>
          <w:iCs/>
          <w:szCs w:val="22"/>
        </w:rPr>
        <w:t>, ktorý má byť po spracovaní vy</w:t>
      </w:r>
      <w:r w:rsidRPr="003E32A2">
        <w:rPr>
          <w:rFonts w:ascii="Arial" w:hAnsi="Arial" w:cs="Arial"/>
          <w:iCs/>
          <w:szCs w:val="22"/>
        </w:rPr>
        <w:t>vezený vo forme zušľachtených výrobkov. V</w:t>
      </w:r>
      <w:r w:rsidR="00C423F5">
        <w:rPr>
          <w:rFonts w:ascii="Arial" w:hAnsi="Arial" w:cs="Arial"/>
          <w:iCs/>
          <w:szCs w:val="22"/>
        </w:rPr>
        <w:t>o</w:t>
      </w:r>
      <w:r w:rsidRPr="003E32A2">
        <w:rPr>
          <w:rFonts w:ascii="Arial" w:hAnsi="Arial" w:cs="Arial"/>
          <w:iCs/>
          <w:szCs w:val="22"/>
        </w:rPr>
        <w:t xml:space="preserve"> vývoze je zahrnutý tovar odobratý z materiálových zdrojov Slovenskej republiky trvalo opúšťajúci jej územie alebo tovar opúšťajúci toto územie na účely spracovania, ktorý má byť po spracovaní dovezený späť vo forme zušľachtených výrobkov.</w:t>
      </w:r>
    </w:p>
    <w:p w14:paraId="38D34A25" w14:textId="46C6AFF3"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 xml:space="preserve">Štatistika zahraničného obchodu </w:t>
      </w:r>
      <w:r w:rsidR="00AB41F4" w:rsidRPr="003E32A2">
        <w:rPr>
          <w:rFonts w:ascii="Arial" w:hAnsi="Arial" w:cs="Arial"/>
          <w:iCs/>
          <w:szCs w:val="22"/>
        </w:rPr>
        <w:t xml:space="preserve">s tovarom </w:t>
      </w:r>
      <w:r w:rsidRPr="003E32A2">
        <w:rPr>
          <w:rFonts w:ascii="Arial" w:hAnsi="Arial" w:cs="Arial"/>
          <w:szCs w:val="22"/>
        </w:rPr>
        <w:t>sa zostavuje z údajov zo štatistických zisťovaní INTRASTAT-SK a colných vyhlásení.</w:t>
      </w:r>
    </w:p>
    <w:p w14:paraId="1CD031EE" w14:textId="5FFB45FB"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Štatistické zisťovania INTRASTAT-SK obsahujú najmä informácie o obchode s tovarom s členskými štátmi EÚ. Transakcie firiem, ktoré neprekročia prah oslobodenia, nie sú predmetom zisťovania. Hodnotu týchto transakcií, ako aj hodnotu dovozov a vývozov tovaru v rámci EÚ firiem, ktoré si nesplnili spravodajskú povinnosť, Šta</w:t>
      </w:r>
      <w:r w:rsidRPr="003E32A2">
        <w:rPr>
          <w:rFonts w:ascii="Arial" w:hAnsi="Arial" w:cs="Arial"/>
          <w:szCs w:val="22"/>
        </w:rPr>
        <w:softHyphen/>
        <w:t>tis</w:t>
      </w:r>
      <w:r w:rsidRPr="003E32A2">
        <w:rPr>
          <w:rFonts w:ascii="Arial" w:hAnsi="Arial" w:cs="Arial"/>
          <w:szCs w:val="22"/>
        </w:rPr>
        <w:softHyphen/>
        <w:t>tic</w:t>
      </w:r>
      <w:r w:rsidRPr="003E32A2">
        <w:rPr>
          <w:rFonts w:ascii="Arial" w:hAnsi="Arial" w:cs="Arial"/>
          <w:szCs w:val="22"/>
        </w:rPr>
        <w:softHyphen/>
        <w:t xml:space="preserve">ký úrad </w:t>
      </w:r>
      <w:r w:rsidR="00C423F5">
        <w:rPr>
          <w:rFonts w:ascii="Arial" w:hAnsi="Arial" w:cs="Arial"/>
          <w:szCs w:val="22"/>
        </w:rPr>
        <w:t xml:space="preserve">SR </w:t>
      </w:r>
      <w:r w:rsidRPr="003E32A2">
        <w:rPr>
          <w:rFonts w:ascii="Arial" w:hAnsi="Arial" w:cs="Arial"/>
          <w:szCs w:val="22"/>
        </w:rPr>
        <w:t>odhaduje, čím môže dochádzať k dočasným odchýlkam od skutočnosti.</w:t>
      </w:r>
    </w:p>
    <w:p w14:paraId="7A182BAF" w14:textId="77777777"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Colné vyhlásenia pokrývajú najmä informácie o obchode s tovarom s nečlenskými krajinami EÚ.</w:t>
      </w:r>
    </w:p>
    <w:p w14:paraId="0C50C992" w14:textId="31B22879"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Do štatistiky zahraničného obchodu</w:t>
      </w:r>
      <w:r w:rsidR="00AB41F4" w:rsidRPr="003E32A2">
        <w:rPr>
          <w:rFonts w:ascii="Arial" w:hAnsi="Arial" w:cs="Arial"/>
          <w:szCs w:val="22"/>
        </w:rPr>
        <w:t xml:space="preserve"> </w:t>
      </w:r>
      <w:r w:rsidR="00AB41F4" w:rsidRPr="003E32A2">
        <w:rPr>
          <w:rFonts w:ascii="Arial" w:hAnsi="Arial" w:cs="Arial"/>
          <w:iCs/>
          <w:szCs w:val="22"/>
        </w:rPr>
        <w:t>s tovarom</w:t>
      </w:r>
      <w:r w:rsidRPr="003E32A2">
        <w:rPr>
          <w:rFonts w:ascii="Arial" w:hAnsi="Arial" w:cs="Arial"/>
          <w:szCs w:val="22"/>
        </w:rPr>
        <w:t xml:space="preserve"> nie je zahrnutý tovar, ktorý je v dočasnom použití, tovar určený na opravu a po jeho oprave a s tým súvisiace náhradné diely a tovar, pri ktorom bolo v Slovenskej republike uskutočnené len colné konanie (kvázi dovoz a kvázi vývoz).</w:t>
      </w:r>
    </w:p>
    <w:p w14:paraId="12519639" w14:textId="3681DF47" w:rsidR="00F859F7" w:rsidRDefault="00F859F7" w:rsidP="00972525">
      <w:pPr>
        <w:tabs>
          <w:tab w:val="left" w:pos="426"/>
        </w:tabs>
        <w:spacing w:after="100"/>
        <w:rPr>
          <w:rFonts w:ascii="Arial" w:hAnsi="Arial" w:cs="Arial"/>
          <w:szCs w:val="22"/>
        </w:rPr>
      </w:pPr>
      <w:r w:rsidRPr="003E32A2">
        <w:rPr>
          <w:rFonts w:ascii="Arial" w:hAnsi="Arial" w:cs="Arial"/>
          <w:szCs w:val="22"/>
        </w:rPr>
        <w:t>Údaje o hodnote dovezenej a vyvezenej elektriny a zemného plynu sú odhadnuté na</w:t>
      </w:r>
      <w:r w:rsidR="00AB41F4" w:rsidRPr="003E32A2">
        <w:rPr>
          <w:rFonts w:ascii="Arial" w:hAnsi="Arial" w:cs="Arial"/>
          <w:szCs w:val="22"/>
        </w:rPr>
        <w:t xml:space="preserve"> základe údajov o ich fyzických</w:t>
      </w:r>
      <w:r w:rsidRPr="003E32A2">
        <w:rPr>
          <w:rFonts w:ascii="Arial" w:hAnsi="Arial" w:cs="Arial"/>
          <w:szCs w:val="22"/>
        </w:rPr>
        <w:t xml:space="preserve"> cezhraničných tokoch.</w:t>
      </w:r>
    </w:p>
    <w:p w14:paraId="5EFCB450" w14:textId="56EA36AC" w:rsidR="00F859F7" w:rsidRPr="003E32A2" w:rsidRDefault="00972525" w:rsidP="00972525">
      <w:pPr>
        <w:tabs>
          <w:tab w:val="left" w:pos="426"/>
        </w:tabs>
        <w:spacing w:after="120"/>
        <w:rPr>
          <w:rFonts w:ascii="Arial" w:hAnsi="Arial" w:cs="Arial"/>
          <w:szCs w:val="22"/>
        </w:rPr>
      </w:pPr>
      <w:r w:rsidRPr="00972525">
        <w:rPr>
          <w:rFonts w:ascii="Arial" w:hAnsi="Arial" w:cs="Arial"/>
          <w:szCs w:val="22"/>
        </w:rPr>
        <w:t>V</w:t>
      </w:r>
      <w:r w:rsidR="00DD479B">
        <w:rPr>
          <w:rFonts w:ascii="Arial" w:hAnsi="Arial" w:cs="Arial"/>
          <w:szCs w:val="22"/>
        </w:rPr>
        <w:t xml:space="preserve"> </w:t>
      </w:r>
      <w:r w:rsidRPr="00972525">
        <w:rPr>
          <w:rFonts w:ascii="Arial" w:hAnsi="Arial" w:cs="Arial"/>
          <w:szCs w:val="22"/>
        </w:rPr>
        <w:t>rámci skvalitnenia údajov sú rozšírené zdroje údajov o dovoze tovaru a do štatistických výstupov sú zahrnuté aj údaje za fyzické a právnické osoby, ktoré nie sú registrované pre DPH v Slovenskej republike a zároveň v rámci EÚ nakúpili tovar v rámci predaja na diaľku. Tieto údaje sú zapracované do štatistických výstupov od januára 2022.</w:t>
      </w:r>
    </w:p>
    <w:p w14:paraId="1F9E5654"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 xml:space="preserve">Výberové zisťovanie pracovných síl </w:t>
      </w:r>
      <w:r w:rsidRPr="00CE7BAD">
        <w:rPr>
          <w:rFonts w:cs="Arial"/>
          <w:sz w:val="22"/>
          <w:szCs w:val="22"/>
        </w:rPr>
        <w:t>(VZPS)</w:t>
      </w:r>
    </w:p>
    <w:p w14:paraId="18629242" w14:textId="77777777" w:rsidR="00F859F7" w:rsidRPr="003E32A2" w:rsidRDefault="00F859F7" w:rsidP="00972525">
      <w:pPr>
        <w:tabs>
          <w:tab w:val="left" w:pos="426"/>
        </w:tabs>
        <w:spacing w:afterLines="100" w:after="240"/>
        <w:rPr>
          <w:rFonts w:ascii="Arial" w:hAnsi="Arial" w:cs="Arial"/>
          <w:szCs w:val="22"/>
        </w:rPr>
      </w:pPr>
      <w:r w:rsidRPr="003E32A2">
        <w:rPr>
          <w:rFonts w:ascii="Arial" w:hAnsi="Arial" w:cs="Arial"/>
          <w:szCs w:val="22"/>
        </w:rPr>
        <w:t xml:space="preserve">Výberové zisťovanie pracovných síl je od roku 2021 plne zosúladené s novou legislatívou EÚ </w:t>
      </w:r>
      <w:r w:rsidRPr="003E32A2">
        <w:rPr>
          <w:rFonts w:ascii="Arial" w:hAnsi="Arial" w:cs="Arial"/>
          <w:szCs w:val="22"/>
        </w:rPr>
        <w:lastRenderedPageBreak/>
        <w:t>k Integrovaným európskym sociálnym štatistikám (IESS). Za účelom úplnej harmonizácie s novými právnymi predpismi EÚ boli vo VZPS prijaté viaceré opatrenia, v rámci ktorých patria k najvýznamnejším očistenie opory výberu domácností pri vážení o kolektívne zariadenia, prechod na integrované váhy na úrovni domácnosti a jej členov, inovácia dotazníkov, zavedenie hornej hranice u pracujúcej osoby na 89 rokov, vyradenie osôb vykonávajúcich aktivačné práce z pracujúcich, presun osôb na rodičovskej dovolenke z nepracujúcich do pracujúcich; premenovanie ekonomicky neaktívnych osôb na osoby mimo trhu práce.</w:t>
      </w:r>
    </w:p>
    <w:p w14:paraId="1891BB3B" w14:textId="77777777" w:rsidR="00F859F7" w:rsidRPr="003E32A2" w:rsidRDefault="00F859F7" w:rsidP="00F859F7">
      <w:pPr>
        <w:tabs>
          <w:tab w:val="left" w:pos="426"/>
        </w:tabs>
        <w:rPr>
          <w:rFonts w:ascii="Arial" w:hAnsi="Arial" w:cs="Arial"/>
          <w:szCs w:val="22"/>
          <w:u w:val="single"/>
        </w:rPr>
      </w:pPr>
      <w:r w:rsidRPr="003E32A2">
        <w:rPr>
          <w:rFonts w:ascii="Arial" w:hAnsi="Arial" w:cs="Arial"/>
          <w:szCs w:val="22"/>
          <w:u w:val="single"/>
        </w:rPr>
        <w:t>Ekonomicky aktívne obyvateľstvo (pracovná sila)</w:t>
      </w:r>
    </w:p>
    <w:p w14:paraId="29C88453"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Za ekonomicky aktívne obyvateľstvo sa považujú všetky osoby vo veku od 15 do 89 rokov, ktoré patria me</w:t>
      </w:r>
      <w:r w:rsidRPr="003E32A2">
        <w:rPr>
          <w:rFonts w:ascii="Arial" w:hAnsi="Arial" w:cs="Arial"/>
          <w:szCs w:val="22"/>
        </w:rPr>
        <w:softHyphen/>
        <w:t>dzi pracujúcich alebo nezamestnaných.</w:t>
      </w:r>
    </w:p>
    <w:p w14:paraId="0C893F58" w14:textId="77777777" w:rsidR="00F859F7" w:rsidRPr="003E32A2" w:rsidRDefault="00F859F7" w:rsidP="00F859F7">
      <w:pPr>
        <w:pStyle w:val="Nadpis7"/>
        <w:tabs>
          <w:tab w:val="left" w:pos="426"/>
        </w:tabs>
        <w:rPr>
          <w:rFonts w:ascii="Arial" w:hAnsi="Arial" w:cs="Arial"/>
          <w:b w:val="0"/>
          <w:caps w:val="0"/>
          <w:szCs w:val="22"/>
          <w:u w:val="single"/>
        </w:rPr>
      </w:pPr>
      <w:r w:rsidRPr="003E32A2">
        <w:rPr>
          <w:rFonts w:ascii="Arial" w:hAnsi="Arial" w:cs="Arial"/>
          <w:b w:val="0"/>
          <w:szCs w:val="22"/>
          <w:u w:val="single"/>
        </w:rPr>
        <w:t>P</w:t>
      </w:r>
      <w:r w:rsidRPr="003E32A2">
        <w:rPr>
          <w:rFonts w:ascii="Arial" w:hAnsi="Arial" w:cs="Arial"/>
          <w:b w:val="0"/>
          <w:caps w:val="0"/>
          <w:szCs w:val="22"/>
          <w:u w:val="single"/>
        </w:rPr>
        <w:t>racujúci</w:t>
      </w:r>
    </w:p>
    <w:p w14:paraId="084FC89F" w14:textId="4D60B245"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Podľa medzinárodne platnej metodiky VZPS sa medzi pracujúcich zahrnujú všetky osoby vo</w:t>
      </w:r>
      <w:r w:rsidR="00EE23BE">
        <w:rPr>
          <w:rFonts w:ascii="Arial" w:hAnsi="Arial" w:cs="Arial"/>
          <w:szCs w:val="22"/>
        </w:rPr>
        <w:t> </w:t>
      </w:r>
      <w:r w:rsidRPr="003E32A2">
        <w:rPr>
          <w:rFonts w:ascii="Arial" w:hAnsi="Arial" w:cs="Arial"/>
          <w:szCs w:val="22"/>
        </w:rPr>
        <w:t>veku od 15 do 89 rokov, ktoré v sledovanom týždni:</w:t>
      </w:r>
    </w:p>
    <w:p w14:paraId="77D03155"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xml:space="preserve">- vykonávali aspoň jednu hodinu akúkoľvek prácu za mzdu, plat, odmenu alebo pracovnú činnosť za účelom dosiahnutia zisku (prácu na plný alebo kratší pracovný čas, stálu, dočasnú, príležitostnú alebo sezónnu prácu) vrátane osôb pracujúcich v zahraničí do 1 roka, osôb dochádzajúcich za prácou do zahraničia a osôb vykonávajúcich prácu na základe dohôd. </w:t>
      </w:r>
    </w:p>
    <w:p w14:paraId="09018537" w14:textId="42359E08"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mali prácu, ale nepracovali z dôvodu choroby, dovolenky, náhradného voľna alebo variabilného pracovného času, materskej alebo rodičovskej dovolenky, školenia súvisiaceho so zamestnaním, mimo sezóny, nedostatku práce u zame</w:t>
      </w:r>
      <w:r w:rsidR="00664149">
        <w:rPr>
          <w:rFonts w:ascii="Arial" w:hAnsi="Arial" w:cs="Arial"/>
          <w:szCs w:val="22"/>
        </w:rPr>
        <w:t>stnávateľa, štrajku a výluky, s v</w:t>
      </w:r>
      <w:r w:rsidRPr="003E32A2">
        <w:rPr>
          <w:rFonts w:ascii="Arial" w:hAnsi="Arial" w:cs="Arial"/>
          <w:szCs w:val="22"/>
        </w:rPr>
        <w:t>ýnimkou osôb na dlhodobom pracovnom voľne.</w:t>
      </w:r>
    </w:p>
    <w:p w14:paraId="1A6041DC"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Patria sem aj vypomáhajúci (neplatení) členovia rodiny v rodinnom podniku alebo na rodinnej farme, ktorí za svoju činnosť nepoberajú žiadnu mzdu ani odmenu.</w:t>
      </w:r>
    </w:p>
    <w:p w14:paraId="79CB5535" w14:textId="77777777" w:rsidR="00F859F7" w:rsidRPr="003E32A2" w:rsidRDefault="00F859F7" w:rsidP="00F859F7">
      <w:pPr>
        <w:pStyle w:val="Nadpis8"/>
        <w:tabs>
          <w:tab w:val="left" w:pos="426"/>
        </w:tabs>
        <w:rPr>
          <w:rFonts w:ascii="Arial" w:hAnsi="Arial" w:cs="Arial"/>
          <w:b w:val="0"/>
          <w:sz w:val="22"/>
          <w:szCs w:val="22"/>
          <w:u w:val="single"/>
        </w:rPr>
      </w:pPr>
      <w:r w:rsidRPr="003E32A2">
        <w:rPr>
          <w:rFonts w:ascii="Arial" w:hAnsi="Arial" w:cs="Arial"/>
          <w:b w:val="0"/>
          <w:sz w:val="22"/>
          <w:szCs w:val="22"/>
          <w:u w:val="single"/>
        </w:rPr>
        <w:t>Nezamestnanosť</w:t>
      </w:r>
    </w:p>
    <w:p w14:paraId="0890CC9E" w14:textId="435B2D50" w:rsidR="00F859F7" w:rsidRPr="003E32A2" w:rsidRDefault="00F859F7" w:rsidP="00664149">
      <w:pPr>
        <w:tabs>
          <w:tab w:val="left" w:pos="426"/>
        </w:tabs>
        <w:spacing w:after="100"/>
        <w:rPr>
          <w:rFonts w:ascii="Arial" w:hAnsi="Arial" w:cs="Arial"/>
          <w:szCs w:val="22"/>
        </w:rPr>
      </w:pPr>
      <w:r w:rsidRPr="003E32A2">
        <w:rPr>
          <w:rFonts w:ascii="Arial" w:hAnsi="Arial" w:cs="Arial"/>
          <w:szCs w:val="22"/>
        </w:rPr>
        <w:t>Nezamestnaní sú všetky osoby vo veku od 15 do 74 rokov, ktoré v sledovanom týždni súčasne spĺňajú nasledovné tri pod</w:t>
      </w:r>
      <w:r w:rsidRPr="003E32A2">
        <w:rPr>
          <w:rFonts w:ascii="Arial" w:hAnsi="Arial" w:cs="Arial"/>
          <w:szCs w:val="22"/>
        </w:rPr>
        <w:softHyphen/>
        <w:t>mien</w:t>
      </w:r>
      <w:r w:rsidRPr="003E32A2">
        <w:rPr>
          <w:rFonts w:ascii="Arial" w:hAnsi="Arial" w:cs="Arial"/>
          <w:szCs w:val="22"/>
        </w:rPr>
        <w:softHyphen/>
        <w:t>ky: v sledovanom týždni nemajú žiadnu platenú prácu, v</w:t>
      </w:r>
      <w:r w:rsidR="00664149">
        <w:rPr>
          <w:rFonts w:ascii="Arial" w:hAnsi="Arial" w:cs="Arial"/>
          <w:szCs w:val="22"/>
        </w:rPr>
        <w:t> </w:t>
      </w:r>
      <w:r w:rsidRPr="003E32A2">
        <w:rPr>
          <w:rFonts w:ascii="Arial" w:hAnsi="Arial" w:cs="Arial"/>
          <w:szCs w:val="22"/>
        </w:rPr>
        <w:t>posledných štyroch týždňoch si aktívne hľa</w:t>
      </w:r>
      <w:r w:rsidRPr="003E32A2">
        <w:rPr>
          <w:rFonts w:ascii="Arial" w:hAnsi="Arial" w:cs="Arial"/>
          <w:szCs w:val="22"/>
        </w:rPr>
        <w:softHyphen/>
        <w:t>dali prácu alebo si prácu už našli a</w:t>
      </w:r>
      <w:r w:rsidR="00664149">
        <w:rPr>
          <w:rFonts w:ascii="Arial" w:hAnsi="Arial" w:cs="Arial"/>
          <w:szCs w:val="22"/>
        </w:rPr>
        <w:t> </w:t>
      </w:r>
      <w:r w:rsidRPr="003E32A2">
        <w:rPr>
          <w:rFonts w:ascii="Arial" w:hAnsi="Arial" w:cs="Arial"/>
          <w:szCs w:val="22"/>
        </w:rPr>
        <w:t>do</w:t>
      </w:r>
      <w:r w:rsidR="00664149">
        <w:rPr>
          <w:rFonts w:ascii="Arial" w:hAnsi="Arial" w:cs="Arial"/>
          <w:szCs w:val="22"/>
        </w:rPr>
        <w:t> </w:t>
      </w:r>
      <w:r w:rsidRPr="003E32A2">
        <w:rPr>
          <w:rFonts w:ascii="Arial" w:hAnsi="Arial" w:cs="Arial"/>
          <w:szCs w:val="22"/>
        </w:rPr>
        <w:t>zamestnania nastúpia v priebehu 3 mesiacov a ktorí sú schopní nastúpiť do práce najneskôr do dvoch týždňov.</w:t>
      </w:r>
    </w:p>
    <w:p w14:paraId="36066E57" w14:textId="77777777" w:rsidR="00F859F7" w:rsidRPr="003E32A2" w:rsidRDefault="00F859F7" w:rsidP="00664149">
      <w:pPr>
        <w:pStyle w:val="Nadpis7"/>
        <w:tabs>
          <w:tab w:val="left" w:pos="426"/>
        </w:tabs>
        <w:spacing w:after="100"/>
        <w:rPr>
          <w:rFonts w:ascii="Arial" w:hAnsi="Arial" w:cs="Arial"/>
          <w:b w:val="0"/>
          <w:caps w:val="0"/>
          <w:szCs w:val="22"/>
        </w:rPr>
      </w:pPr>
      <w:r w:rsidRPr="003E32A2">
        <w:rPr>
          <w:rFonts w:ascii="Arial" w:hAnsi="Arial" w:cs="Arial"/>
          <w:b w:val="0"/>
          <w:caps w:val="0"/>
          <w:szCs w:val="22"/>
        </w:rPr>
        <w:t>Tieto osoby môžu, ale nemusia byť evidované na úradoch práce ako uchádzači o zamestnanie.</w:t>
      </w:r>
    </w:p>
    <w:p w14:paraId="2FC3C823" w14:textId="77777777" w:rsidR="00F859F7" w:rsidRPr="003E32A2" w:rsidRDefault="00F859F7" w:rsidP="00664149">
      <w:pPr>
        <w:pStyle w:val="Nadpis7"/>
        <w:tabs>
          <w:tab w:val="left" w:pos="426"/>
        </w:tabs>
        <w:spacing w:after="100"/>
        <w:rPr>
          <w:rFonts w:ascii="Arial" w:hAnsi="Arial" w:cs="Arial"/>
          <w:b w:val="0"/>
          <w:caps w:val="0"/>
          <w:szCs w:val="22"/>
        </w:rPr>
      </w:pPr>
      <w:r w:rsidRPr="003E32A2">
        <w:rPr>
          <w:rFonts w:ascii="Arial" w:hAnsi="Arial" w:cs="Arial"/>
          <w:b w:val="0"/>
          <w:caps w:val="0"/>
          <w:szCs w:val="22"/>
        </w:rPr>
        <w:t xml:space="preserve">Za aktívne spôsoby hľadania si zamestnania sa považujú: hľadanie si zamestnania prostredníctvom úradov práce, súkromných personálnych agentúr alebo prostredníctvom príbuzných, priateľov a známych, podávanie, odpovedanie alebo sledovanie inzerátov v novinách a na internete, aplikovanie a aktualizovanie online životopisov, priame oslovenie zamestnávateľov, účasť na pracovných pohovoroch a organizovanie príprav na začatie podnikania. </w:t>
      </w:r>
    </w:p>
    <w:p w14:paraId="04E1B9F7" w14:textId="77777777" w:rsidR="00F859F7" w:rsidRPr="003E32A2" w:rsidRDefault="00F859F7" w:rsidP="00F859F7">
      <w:pPr>
        <w:pStyle w:val="Nadpis7"/>
        <w:tabs>
          <w:tab w:val="left" w:pos="426"/>
        </w:tabs>
        <w:rPr>
          <w:rFonts w:ascii="Arial" w:hAnsi="Arial" w:cs="Arial"/>
          <w:b w:val="0"/>
          <w:caps w:val="0"/>
          <w:szCs w:val="22"/>
          <w:u w:val="single"/>
        </w:rPr>
      </w:pPr>
      <w:r w:rsidRPr="003E32A2">
        <w:rPr>
          <w:rFonts w:ascii="Arial" w:hAnsi="Arial" w:cs="Arial"/>
          <w:b w:val="0"/>
          <w:caps w:val="0"/>
          <w:szCs w:val="22"/>
          <w:u w:val="single"/>
        </w:rPr>
        <w:t>Miera nezamestnanosti</w:t>
      </w:r>
    </w:p>
    <w:p w14:paraId="62A7E4A3" w14:textId="77777777" w:rsidR="00F859F7" w:rsidRPr="003E32A2" w:rsidRDefault="00F859F7" w:rsidP="00F859F7">
      <w:pPr>
        <w:pStyle w:val="Zkladntext"/>
        <w:tabs>
          <w:tab w:val="left" w:pos="426"/>
        </w:tabs>
        <w:spacing w:after="0"/>
        <w:rPr>
          <w:rFonts w:ascii="Arial" w:hAnsi="Arial" w:cs="Arial"/>
          <w:szCs w:val="22"/>
        </w:rPr>
      </w:pPr>
      <w:r w:rsidRPr="003E32A2">
        <w:rPr>
          <w:rFonts w:ascii="Arial" w:hAnsi="Arial" w:cs="Arial"/>
          <w:szCs w:val="22"/>
        </w:rPr>
        <w:t>Miera nezamestnanosti je v percentách vyjadrený podiel počtu nezamestnaných z ekonomicky ak</w:t>
      </w:r>
      <w:r w:rsidRPr="003E32A2">
        <w:rPr>
          <w:rFonts w:ascii="Arial" w:hAnsi="Arial" w:cs="Arial"/>
          <w:szCs w:val="22"/>
        </w:rPr>
        <w:softHyphen/>
        <w:t>tív</w:t>
      </w:r>
      <w:r w:rsidRPr="003E32A2">
        <w:rPr>
          <w:rFonts w:ascii="Arial" w:hAnsi="Arial" w:cs="Arial"/>
          <w:szCs w:val="22"/>
        </w:rPr>
        <w:softHyphen/>
        <w:t>neho obyvateľstva.</w:t>
      </w:r>
    </w:p>
    <w:p w14:paraId="5DFB2BFC"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Priemerný počet zamestnaných osôb podľa štatistického výkazníctva</w:t>
      </w:r>
    </w:p>
    <w:p w14:paraId="07D35C89" w14:textId="51A7C54D"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xml:space="preserve">Priemerný počet zamestnaných osôb zahŕňa zamestnancov a podnikateľov. Kategóriu </w:t>
      </w:r>
      <w:r w:rsidRPr="003E32A2">
        <w:rPr>
          <w:rFonts w:ascii="Arial" w:hAnsi="Arial" w:cs="Arial"/>
          <w:b/>
          <w:szCs w:val="22"/>
        </w:rPr>
        <w:t>zamestnanci</w:t>
      </w:r>
      <w:r w:rsidRPr="003E32A2">
        <w:rPr>
          <w:rFonts w:ascii="Arial" w:hAnsi="Arial" w:cs="Arial"/>
          <w:szCs w:val="22"/>
        </w:rPr>
        <w:t xml:space="preserve"> tvoria všetci stáli a dočasní zamestnanci bez ohľadu na ich štátnu príslušnosť, ktorí sú v pra</w:t>
      </w:r>
      <w:r w:rsidRPr="003E32A2">
        <w:rPr>
          <w:rFonts w:ascii="Arial" w:hAnsi="Arial" w:cs="Arial"/>
          <w:szCs w:val="22"/>
        </w:rPr>
        <w:softHyphen/>
        <w:t>covnom, služobnom, štátnozamestnaneckom alebo členskom pomere k zamestnávateľovi, bez ohľa</w:t>
      </w:r>
      <w:r w:rsidRPr="003E32A2">
        <w:rPr>
          <w:rFonts w:ascii="Arial" w:hAnsi="Arial" w:cs="Arial"/>
          <w:szCs w:val="22"/>
        </w:rPr>
        <w:softHyphen/>
        <w:t>du na to, či sú skutočne prítomní v práci alebo nie, napr. pre chorobu, dovolenku na zotavenie a pod. a tiež zamestnanci, ktorí nepracovali napr. v dôsledku prestojov, štrajku a výluky. Patria sem tiež za</w:t>
      </w:r>
      <w:r w:rsidRPr="003E32A2">
        <w:rPr>
          <w:rFonts w:ascii="Arial" w:hAnsi="Arial" w:cs="Arial"/>
          <w:szCs w:val="22"/>
        </w:rPr>
        <w:softHyphen/>
        <w:t>mest</w:t>
      </w:r>
      <w:r w:rsidRPr="003E32A2">
        <w:rPr>
          <w:rFonts w:ascii="Arial" w:hAnsi="Arial" w:cs="Arial"/>
          <w:szCs w:val="22"/>
        </w:rPr>
        <w:softHyphen/>
        <w:t>nanci s kratším pracovným časom. Nepatria sem osoby na materskej (rodičovskej) dovo</w:t>
      </w:r>
      <w:r w:rsidRPr="003E32A2">
        <w:rPr>
          <w:rFonts w:ascii="Arial" w:hAnsi="Arial" w:cs="Arial"/>
          <w:szCs w:val="22"/>
        </w:rPr>
        <w:softHyphen/>
        <w:t>len</w:t>
      </w:r>
      <w:r w:rsidRPr="003E32A2">
        <w:rPr>
          <w:rFonts w:ascii="Arial" w:hAnsi="Arial" w:cs="Arial"/>
          <w:szCs w:val="22"/>
        </w:rPr>
        <w:softHyphen/>
        <w:t>ke, učni a študenti na prevádzkovej praxi, osoby pracujúce na dohody o práci vykonávanej mimo pra</w:t>
      </w:r>
      <w:r w:rsidRPr="003E32A2">
        <w:rPr>
          <w:rFonts w:ascii="Arial" w:hAnsi="Arial" w:cs="Arial"/>
          <w:szCs w:val="22"/>
        </w:rPr>
        <w:softHyphen/>
        <w:t>cov</w:t>
      </w:r>
      <w:r w:rsidRPr="003E32A2">
        <w:rPr>
          <w:rFonts w:ascii="Arial" w:hAnsi="Arial" w:cs="Arial"/>
          <w:szCs w:val="22"/>
        </w:rPr>
        <w:softHyphen/>
        <w:t xml:space="preserve">ného pomeru. Kategória </w:t>
      </w:r>
      <w:r w:rsidRPr="003E32A2">
        <w:rPr>
          <w:rFonts w:ascii="Arial" w:hAnsi="Arial" w:cs="Arial"/>
          <w:b/>
          <w:szCs w:val="22"/>
        </w:rPr>
        <w:t>podnikatelia</w:t>
      </w:r>
      <w:r w:rsidRPr="003E32A2">
        <w:rPr>
          <w:rFonts w:ascii="Arial" w:hAnsi="Arial" w:cs="Arial"/>
          <w:i/>
          <w:szCs w:val="22"/>
        </w:rPr>
        <w:t xml:space="preserve"> </w:t>
      </w:r>
      <w:r w:rsidRPr="003E32A2">
        <w:rPr>
          <w:rFonts w:ascii="Arial" w:hAnsi="Arial" w:cs="Arial"/>
          <w:szCs w:val="22"/>
        </w:rPr>
        <w:lastRenderedPageBreak/>
        <w:t>zahŕňa živnostníkov, samostatne hospodáriacich roľníkov, oso</w:t>
      </w:r>
      <w:r w:rsidRPr="003E32A2">
        <w:rPr>
          <w:rFonts w:ascii="Arial" w:hAnsi="Arial" w:cs="Arial"/>
          <w:szCs w:val="22"/>
        </w:rPr>
        <w:softHyphen/>
        <w:t>by podnikajúce formou slobod</w:t>
      </w:r>
      <w:r w:rsidRPr="003E32A2">
        <w:rPr>
          <w:rFonts w:ascii="Arial" w:hAnsi="Arial" w:cs="Arial"/>
          <w:szCs w:val="22"/>
        </w:rPr>
        <w:softHyphen/>
        <w:t>ných povolaní.</w:t>
      </w:r>
    </w:p>
    <w:p w14:paraId="52919C28" w14:textId="4951FB3B" w:rsidR="00F859F7" w:rsidRPr="003E32A2" w:rsidRDefault="00F859F7" w:rsidP="00CE7BAD">
      <w:pPr>
        <w:pStyle w:val="Nadpis2"/>
        <w:tabs>
          <w:tab w:val="left" w:pos="426"/>
        </w:tabs>
        <w:spacing w:before="200"/>
        <w:rPr>
          <w:rFonts w:cs="Arial"/>
          <w:sz w:val="22"/>
          <w:szCs w:val="22"/>
        </w:rPr>
      </w:pPr>
      <w:r w:rsidRPr="003E32A2">
        <w:rPr>
          <w:rFonts w:cs="Arial"/>
          <w:sz w:val="22"/>
          <w:szCs w:val="22"/>
        </w:rPr>
        <w:t>Miera voľných pracovných miest</w:t>
      </w:r>
    </w:p>
    <w:p w14:paraId="372080B3"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Miera voľných pracovných miest sa vypočíta podľa vzorca: </w:t>
      </w:r>
    </w:p>
    <w:p w14:paraId="74F62885"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počet voľných pracovných miest / (počet obsadených pracovných miest + počet voľných pracovných miest) *100</w:t>
      </w:r>
    </w:p>
    <w:p w14:paraId="227D59D3" w14:textId="46F69690" w:rsidR="00F859F7" w:rsidRPr="003E32A2" w:rsidRDefault="00F859F7" w:rsidP="00F859F7">
      <w:pPr>
        <w:tabs>
          <w:tab w:val="left" w:pos="426"/>
        </w:tabs>
        <w:spacing w:after="100"/>
        <w:ind w:right="23"/>
        <w:rPr>
          <w:rFonts w:ascii="Arial" w:hAnsi="Arial" w:cs="Arial"/>
          <w:szCs w:val="22"/>
        </w:rPr>
      </w:pPr>
      <w:r w:rsidRPr="003E32A2">
        <w:rPr>
          <w:rFonts w:ascii="Arial" w:hAnsi="Arial" w:cs="Arial"/>
          <w:szCs w:val="22"/>
          <w:u w:val="single"/>
        </w:rPr>
        <w:t>Voľné pracovné miesto</w:t>
      </w:r>
      <w:r w:rsidRPr="003E32A2">
        <w:rPr>
          <w:rFonts w:ascii="Arial" w:hAnsi="Arial" w:cs="Arial"/>
          <w:szCs w:val="22"/>
        </w:rPr>
        <w:t xml:space="preserve"> je platené (novovytvorené, neobsadené alebo uvoľnené) pracovné miesto, pri ktorom zamestnávateľ podniká aktívne kroky nájsť vhodného kandidáta mimo podniku a je pripravený podniknúť ďalšie kroky, aby voľné miesto obsadil. Za aktívne kroky zamestnávateľa sa považujú: oznam o voľných pracovných miestach na úrad práce, na súkromnú sprostredkovateľňu práce; inzercia (Internet, denná tlač, vývesná tabuľa); priamy nábor možných kandidátov a využitie stážistov na voľné miesto. Voľným pracovným miestom je tiež pracovné miesto, ktoré sa uvoľní z dôvodu dlhodobej absencie (materská, </w:t>
      </w:r>
      <w:r w:rsidR="00E5788D">
        <w:rPr>
          <w:rFonts w:ascii="Arial" w:hAnsi="Arial" w:cs="Arial"/>
          <w:szCs w:val="22"/>
        </w:rPr>
        <w:t>otcovská a</w:t>
      </w:r>
      <w:r w:rsidR="00664149">
        <w:rPr>
          <w:rFonts w:ascii="Arial" w:hAnsi="Arial" w:cs="Arial"/>
          <w:szCs w:val="22"/>
        </w:rPr>
        <w:t> </w:t>
      </w:r>
      <w:r w:rsidRPr="003E32A2">
        <w:rPr>
          <w:rFonts w:ascii="Arial" w:hAnsi="Arial" w:cs="Arial"/>
          <w:szCs w:val="22"/>
        </w:rPr>
        <w:t>rodičovská dovolenka) a dlhodobej práceneschopnosti (viac ako 4 týždne). V prípade rezervovania voľného pracovného miesta pre konkrétneho kandidáta, ktorý nastúpi do zamestnania neskôr, toto pracovné miesto prestane byť voľným pracovným miestom, ale ešte nie je obsadeným pracovným miestom.</w:t>
      </w:r>
    </w:p>
    <w:p w14:paraId="3DEBAF85" w14:textId="77777777" w:rsidR="00F859F7" w:rsidRPr="002941DD" w:rsidRDefault="00F859F7" w:rsidP="00F859F7">
      <w:pPr>
        <w:tabs>
          <w:tab w:val="left" w:pos="426"/>
        </w:tabs>
        <w:spacing w:after="100"/>
        <w:ind w:right="23"/>
        <w:rPr>
          <w:rFonts w:ascii="Arial" w:hAnsi="Arial" w:cs="Arial"/>
          <w:szCs w:val="22"/>
        </w:rPr>
      </w:pPr>
      <w:r w:rsidRPr="003E32A2">
        <w:rPr>
          <w:rFonts w:ascii="Arial" w:hAnsi="Arial" w:cs="Arial"/>
          <w:szCs w:val="22"/>
          <w:u w:val="single"/>
        </w:rPr>
        <w:t>Obsadené pracovné miesto</w:t>
      </w:r>
      <w:r w:rsidRPr="003E32A2">
        <w:rPr>
          <w:rFonts w:ascii="Arial" w:hAnsi="Arial" w:cs="Arial"/>
          <w:szCs w:val="22"/>
        </w:rPr>
        <w:t xml:space="preserve"> je platené pracovné miesto v organizácii, na ktoré je priradený jej zamestnanec. Spravidla je počet obsadených pracovných miest rovnaký alebo menší ako evidenčný počet zamestnancov vo fyzických osobách. Pracovné miesta v užívateľských organizáciách, ktoré majú prepožičaných zamestnancov z agentúr dočasného zamestnávania sú vykazované ako obsadené, resp. voľné v týchto agentúrach. V odvetviach s viaczmennou prevádzkou (napr. v priemyselnej výrobe, obchode, službách) pri obsadení jedného pracovného miesta viacerými zamestnancami, sa toto pracovné miesto počíta ako jedno pracovné miesto. Ak je pracovné miesto obsadené neúplne (napr. v trojzmennej prevádzke sú obsadené len dve zmeny, tretia zmena je neobsadená) </w:t>
      </w:r>
      <w:r w:rsidRPr="002941DD">
        <w:rPr>
          <w:rFonts w:ascii="Arial" w:hAnsi="Arial" w:cs="Arial"/>
          <w:szCs w:val="22"/>
        </w:rPr>
        <w:t>a zamestnávateľ ho chce aktívnymi krokmi obsadiť, považuje sa toto pracovné miesto ako voľné, v prípade nepodnikania aktívnych krokov zamestnávateľa na obsadenie tohto pracovného miesta je to pracovné miesto obsadené.</w:t>
      </w:r>
    </w:p>
    <w:p w14:paraId="15B9602E" w14:textId="77777777" w:rsidR="00F859F7" w:rsidRPr="003E32A2" w:rsidRDefault="00F859F7" w:rsidP="00F859F7">
      <w:pPr>
        <w:tabs>
          <w:tab w:val="left" w:pos="426"/>
        </w:tabs>
        <w:spacing w:after="100"/>
        <w:ind w:right="23"/>
        <w:rPr>
          <w:rFonts w:ascii="Arial" w:hAnsi="Arial" w:cs="Arial"/>
          <w:szCs w:val="22"/>
        </w:rPr>
      </w:pPr>
      <w:r w:rsidRPr="003E32A2">
        <w:rPr>
          <w:rFonts w:ascii="Arial" w:hAnsi="Arial" w:cs="Arial"/>
          <w:szCs w:val="22"/>
          <w:u w:val="single"/>
        </w:rPr>
        <w:t>Priemerný počet</w:t>
      </w:r>
      <w:r w:rsidRPr="003E32A2">
        <w:rPr>
          <w:rFonts w:ascii="Arial" w:hAnsi="Arial" w:cs="Arial"/>
          <w:szCs w:val="22"/>
        </w:rPr>
        <w:t xml:space="preserve"> obsadených, resp. voľných (neobsadených) pracovných miest za štvrťrok sa vypočíta ako aritmetický priemer počtu obsadených resp. voľných pracovných miest k poslednému dňu jednotlivých mesiacov v sledovanom štvrťroku. </w:t>
      </w:r>
    </w:p>
    <w:p w14:paraId="03AB768B" w14:textId="29F955E8" w:rsidR="00F859F7" w:rsidRPr="003E32A2" w:rsidRDefault="00F859F7" w:rsidP="00CE7BAD">
      <w:pPr>
        <w:pStyle w:val="Nadpis2"/>
        <w:tabs>
          <w:tab w:val="left" w:pos="426"/>
        </w:tabs>
        <w:spacing w:before="200"/>
        <w:rPr>
          <w:rFonts w:cs="Arial"/>
          <w:sz w:val="22"/>
          <w:szCs w:val="22"/>
        </w:rPr>
      </w:pPr>
      <w:r w:rsidRPr="003E32A2">
        <w:rPr>
          <w:rFonts w:cs="Arial"/>
          <w:sz w:val="22"/>
          <w:szCs w:val="22"/>
        </w:rPr>
        <w:t>Priemerná nominálna mesačná mzda</w:t>
      </w:r>
      <w:r w:rsidR="00DD479B">
        <w:rPr>
          <w:rFonts w:cs="Arial"/>
          <w:sz w:val="22"/>
          <w:szCs w:val="22"/>
        </w:rPr>
        <w:t xml:space="preserve"> </w:t>
      </w:r>
    </w:p>
    <w:p w14:paraId="63EF5DF4" w14:textId="58432716" w:rsidR="00F859F7" w:rsidRPr="003E32A2" w:rsidRDefault="00F859F7" w:rsidP="00F859F7">
      <w:pPr>
        <w:tabs>
          <w:tab w:val="left" w:pos="426"/>
        </w:tabs>
        <w:rPr>
          <w:rFonts w:ascii="Arial" w:hAnsi="Arial" w:cs="Arial"/>
          <w:szCs w:val="22"/>
        </w:rPr>
      </w:pPr>
      <w:r w:rsidRPr="003E32A2">
        <w:rPr>
          <w:rFonts w:ascii="Arial" w:hAnsi="Arial" w:cs="Arial"/>
          <w:szCs w:val="22"/>
        </w:rPr>
        <w:t>Priemerná nominálna mesačná mzda zahŕňa čiastku mzdových nákladov, vyplácanú vlastným zamestnancom ako odmenu za prácu alebo jej náhradu na základe právneho vzťahu k zamestnávate</w:t>
      </w:r>
      <w:r w:rsidRPr="003E32A2">
        <w:rPr>
          <w:rFonts w:ascii="Arial" w:hAnsi="Arial" w:cs="Arial"/>
          <w:szCs w:val="22"/>
        </w:rPr>
        <w:softHyphen/>
        <w:t xml:space="preserve">ľovi (pracovného, služobného, štátnozamestnaneckého alebo členského pomeru). Je to hrubá mzda, neznížená o zákonné alebo so zamestnancom dohodnuté zrážky. Údaje sú prepočítané na zamestnancov (fyzické osoby) a sú bez podnikateľských príjmov. </w:t>
      </w:r>
    </w:p>
    <w:p w14:paraId="70F440F7"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Peňažné príjmy a výdavky súkromných domácností</w:t>
      </w:r>
    </w:p>
    <w:p w14:paraId="656D3013"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Údaje sa získavajú prostredníctvom štatistiky rodinných účtov, ktorej cieľom je získanie údajov o vý</w:t>
      </w:r>
      <w:r w:rsidRPr="003E32A2">
        <w:rPr>
          <w:rFonts w:ascii="Arial" w:hAnsi="Arial" w:cs="Arial"/>
          <w:szCs w:val="22"/>
        </w:rPr>
        <w:softHyphen/>
        <w:t>davkoch a príjmoch súkromných domácností. Súkromnú domácnosť tvorí jedna alebo viac osôb, kto</w:t>
      </w:r>
      <w:r w:rsidRPr="003E32A2">
        <w:rPr>
          <w:rFonts w:ascii="Arial" w:hAnsi="Arial" w:cs="Arial"/>
          <w:szCs w:val="22"/>
        </w:rPr>
        <w:softHyphen/>
        <w:t>ré spĺňajú dve základné podmienky: 1) bývajú spolu v tom istom byte (obydlí) a 2) spoločne sa po</w:t>
      </w:r>
      <w:r w:rsidRPr="003E32A2">
        <w:rPr>
          <w:rFonts w:ascii="Arial" w:hAnsi="Arial" w:cs="Arial"/>
          <w:szCs w:val="22"/>
        </w:rPr>
        <w:softHyphen/>
        <w:t>die</w:t>
      </w:r>
      <w:r w:rsidRPr="003E32A2">
        <w:rPr>
          <w:rFonts w:ascii="Arial" w:hAnsi="Arial" w:cs="Arial"/>
          <w:szCs w:val="22"/>
        </w:rPr>
        <w:softHyphen/>
        <w:t>ľajú na výdavkoch, predovšetkým na bývaní a stravovaní.</w:t>
      </w:r>
    </w:p>
    <w:p w14:paraId="28DA3BEB"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Na rozdiel od štatistiky národných účtov rodinné účty zisťujú len príjmy a výdavky, spojené so za</w:t>
      </w:r>
      <w:r w:rsidRPr="003E32A2">
        <w:rPr>
          <w:rFonts w:ascii="Arial" w:hAnsi="Arial" w:cs="Arial"/>
          <w:szCs w:val="22"/>
        </w:rPr>
        <w:softHyphen/>
        <w:t>bez</w:t>
      </w:r>
      <w:r w:rsidRPr="003E32A2">
        <w:rPr>
          <w:rFonts w:ascii="Arial" w:hAnsi="Arial" w:cs="Arial"/>
          <w:szCs w:val="22"/>
        </w:rPr>
        <w:softHyphen/>
        <w:t>pečovaním chodu domácností a osobných potrieb jej členov.</w:t>
      </w:r>
    </w:p>
    <w:p w14:paraId="5739793E"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Od roku 2004 sa zisťovanie príjmov a výdavkov domácností vykonáva na vzorke náhodne vybraných domácností. Údaje sa následne prepočítavajú vážením. V priebehu roka sa vykonávajú predbežné odhady, ktoré sa spresňujú po vykonaní dopočtov za nevyšetrené domácnosti po skončení ročného obdobia.</w:t>
      </w:r>
    </w:p>
    <w:p w14:paraId="52ED155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 xml:space="preserve">Dávky dôchodkového a nemocenského poistenia </w:t>
      </w:r>
    </w:p>
    <w:p w14:paraId="6C579D70" w14:textId="3E1D72AB"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lastRenderedPageBreak/>
        <w:t xml:space="preserve">Do dávok dôchodkového poistenia patria dôchodky starobné, predčasné starobné, invalidné (vrátane výsluhových), vdovské, vdovecké (od roku 2004 sa neposkytuje pevnou sumou, ale sa vypočítava ako vdovský dôchodok) a sirotské. </w:t>
      </w:r>
      <w:r w:rsidR="00EA0FE8" w:rsidRPr="00EA0FE8">
        <w:rPr>
          <w:rFonts w:ascii="Arial" w:hAnsi="Arial" w:cs="Arial"/>
          <w:szCs w:val="22"/>
        </w:rPr>
        <w:t>Od roku 1.1.2023 sa poskytuje aj tzv. rodičovský dôchodok.</w:t>
      </w:r>
    </w:p>
    <w:p w14:paraId="783FC9C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 nemocenského poistenia Sociálna poisťovňa vypláca šesť dávok: nemocenské, ošetrovné, materské, vyrovnávacia dávka a od 1.4.2021 pribudlo dlhodobé ošetrovné a tehotenské.</w:t>
      </w:r>
    </w:p>
    <w:p w14:paraId="422D778B"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Nesystémové dôchodkové dávky hradené štátom zahŕňajú 4 samostatné dávky:</w:t>
      </w:r>
    </w:p>
    <w:p w14:paraId="654FE0A4"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sociálny dôchodok</w:t>
      </w:r>
    </w:p>
    <w:p w14:paraId="4469E8EA"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dôchodok manželky</w:t>
      </w:r>
    </w:p>
    <w:p w14:paraId="2E194415"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invalidný dôchodok z mladosti od roku 2005</w:t>
      </w:r>
    </w:p>
    <w:p w14:paraId="1A55A2C3"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dávky podľa § 271 zákona č. 461/2003 Z. z. (dávky z doby pred 1. januárom 1957)</w:t>
      </w:r>
    </w:p>
    <w:p w14:paraId="6251D11A" w14:textId="77777777" w:rsidR="00F859F7" w:rsidRPr="003E32A2" w:rsidRDefault="00F859F7" w:rsidP="003355E8">
      <w:pPr>
        <w:ind w:left="709" w:hanging="284"/>
        <w:rPr>
          <w:rFonts w:ascii="Arial" w:hAnsi="Arial" w:cs="Arial"/>
          <w:szCs w:val="22"/>
        </w:rPr>
      </w:pPr>
      <w:r w:rsidRPr="003E32A2">
        <w:rPr>
          <w:rFonts w:ascii="Arial" w:hAnsi="Arial" w:cs="Arial"/>
          <w:szCs w:val="22"/>
        </w:rPr>
        <w:t>a ostatné štátne dávky, ktoré sa viažu k vyplácanému dôchodku:</w:t>
      </w:r>
    </w:p>
    <w:p w14:paraId="77CFD07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pre bezvládnosť</w:t>
      </w:r>
    </w:p>
    <w:p w14:paraId="7A7D9FB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z dôvodu jediného zdroja príjmu</w:t>
      </w:r>
    </w:p>
    <w:p w14:paraId="40658075"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za odboj, rehabilitáciu a deportáciu do koncentračných táborov</w:t>
      </w:r>
    </w:p>
    <w:p w14:paraId="10FDD2E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príplatok k dôchodku politickým väzňom podľa zákona č. 274/2007 Z. z.</w:t>
      </w:r>
    </w:p>
    <w:p w14:paraId="7490F647"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príspevok účastníkom národného boja za oslobodenie a vdovám a vdovcom po týchto osobách</w:t>
      </w:r>
    </w:p>
    <w:p w14:paraId="7845067D"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sumy starobného a invalidného dôchodku po dovŕšení dôchodkového veku na sumu minimálneho dôchodku</w:t>
      </w:r>
    </w:p>
    <w:p w14:paraId="0B16DDA1"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osobitné určenie sumy starobného, predčasného starobného a invalidného dôchodku (do 31.decembra 2019 vyrovnávací príspevok podľa § 69b až § 69d zákona o sociálnom poistení)</w:t>
      </w:r>
    </w:p>
    <w:p w14:paraId="0741127A"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príspevok športovému reprezentantovi podľa zákona č. 112/2015 Z. z.</w:t>
      </w:r>
    </w:p>
    <w:p w14:paraId="666E9382"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vianočný príspevok (naposledy za rok 2019, potom už len doplatky)</w:t>
      </w:r>
    </w:p>
    <w:p w14:paraId="3B1DBD1D" w14:textId="7D99397C"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13. dôchodok (od</w:t>
      </w:r>
      <w:r w:rsidR="00DD479B">
        <w:rPr>
          <w:rFonts w:ascii="Arial" w:hAnsi="Arial" w:cs="Arial"/>
          <w:szCs w:val="22"/>
        </w:rPr>
        <w:t xml:space="preserve"> </w:t>
      </w:r>
      <w:r w:rsidRPr="003E32A2">
        <w:rPr>
          <w:rFonts w:ascii="Arial" w:hAnsi="Arial" w:cs="Arial"/>
          <w:szCs w:val="22"/>
        </w:rPr>
        <w:t>roku 2020)</w:t>
      </w:r>
    </w:p>
    <w:p w14:paraId="7EECE80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príplatok za štátnu službu</w:t>
      </w:r>
    </w:p>
    <w:p w14:paraId="618E8DB0"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 xml:space="preserve">jednorazový finančný príspevok politickým väzňom podľa zákon č. 462/2002 Z. z. </w:t>
      </w:r>
    </w:p>
    <w:p w14:paraId="34DE92D9" w14:textId="77777777" w:rsidR="00F859F7" w:rsidRPr="003E32A2" w:rsidRDefault="00F859F7" w:rsidP="00F859F7">
      <w:pPr>
        <w:widowControl/>
        <w:tabs>
          <w:tab w:val="left" w:pos="426"/>
        </w:tabs>
        <w:overflowPunct/>
        <w:autoSpaceDE/>
        <w:autoSpaceDN/>
        <w:adjustRightInd/>
        <w:textAlignment w:val="auto"/>
        <w:rPr>
          <w:rFonts w:ascii="Arial" w:hAnsi="Arial" w:cs="Arial"/>
          <w:szCs w:val="22"/>
        </w:rPr>
      </w:pPr>
    </w:p>
    <w:p w14:paraId="59B4569D" w14:textId="77777777" w:rsidR="00F859F7" w:rsidRPr="003E32A2" w:rsidRDefault="00F859F7" w:rsidP="00F859F7">
      <w:pPr>
        <w:tabs>
          <w:tab w:val="left" w:pos="426"/>
        </w:tabs>
        <w:spacing w:before="120"/>
        <w:rPr>
          <w:rFonts w:ascii="Arial" w:hAnsi="Arial" w:cs="Arial"/>
          <w:szCs w:val="22"/>
        </w:rPr>
      </w:pPr>
      <w:r w:rsidRPr="003E32A2">
        <w:rPr>
          <w:rFonts w:ascii="Arial" w:hAnsi="Arial" w:cs="Arial"/>
          <w:szCs w:val="22"/>
        </w:rPr>
        <w:t>Ostatné štátne dávky sú:</w:t>
      </w:r>
    </w:p>
    <w:p w14:paraId="766B9F52" w14:textId="77777777"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odškodnenie prac. úrazov a chorôb z povolania zamestnancov zrušených zamestnávateľov, ktorých zakladateľom bol štát, alebo Fond národného majetku SR</w:t>
      </w:r>
    </w:p>
    <w:p w14:paraId="19CC0846" w14:textId="3F8D223F"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plnenia vyplývajúce zo zodpovednosti zamestnávateľa za škodu pri pracovnom úraze a</w:t>
      </w:r>
      <w:r w:rsidR="00664149">
        <w:rPr>
          <w:rFonts w:ascii="Arial" w:hAnsi="Arial" w:cs="Arial"/>
          <w:szCs w:val="22"/>
        </w:rPr>
        <w:t> </w:t>
      </w:r>
      <w:r w:rsidRPr="003E32A2">
        <w:rPr>
          <w:rFonts w:ascii="Arial" w:hAnsi="Arial" w:cs="Arial"/>
          <w:szCs w:val="22"/>
        </w:rPr>
        <w:t>chorobe z povolania vzniknuté pred 1. aprílom 2002 u zamestnávateľa, ktorý mal podľa osobitného predpisu postavenie štátneho orgánu</w:t>
      </w:r>
    </w:p>
    <w:p w14:paraId="43662618" w14:textId="52418050"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úrazové dávky poskytované fyzickým osobám uvedeným v § 17 ods. 2 a 3 zákona o</w:t>
      </w:r>
      <w:r w:rsidR="00664149">
        <w:rPr>
          <w:rFonts w:ascii="Arial" w:hAnsi="Arial" w:cs="Arial"/>
          <w:szCs w:val="22"/>
        </w:rPr>
        <w:t> </w:t>
      </w:r>
      <w:r w:rsidRPr="003E32A2">
        <w:rPr>
          <w:rFonts w:ascii="Arial" w:hAnsi="Arial" w:cs="Arial"/>
          <w:szCs w:val="22"/>
        </w:rPr>
        <w:t>sociálnom poistení</w:t>
      </w:r>
    </w:p>
    <w:p w14:paraId="40D03731" w14:textId="5ADB93E3" w:rsidR="00F859F7" w:rsidRPr="003E32A2" w:rsidRDefault="00CF4D34" w:rsidP="003355E8">
      <w:pPr>
        <w:widowControl/>
        <w:numPr>
          <w:ilvl w:val="0"/>
          <w:numId w:val="4"/>
        </w:numPr>
        <w:overflowPunct/>
        <w:autoSpaceDE/>
        <w:autoSpaceDN/>
        <w:adjustRightInd/>
        <w:spacing w:after="100"/>
        <w:ind w:left="709" w:hanging="284"/>
        <w:textAlignment w:val="auto"/>
        <w:rPr>
          <w:rFonts w:ascii="Arial" w:hAnsi="Arial" w:cs="Arial"/>
          <w:szCs w:val="22"/>
        </w:rPr>
      </w:pPr>
      <w:r>
        <w:rPr>
          <w:rFonts w:ascii="Arial" w:hAnsi="Arial" w:cs="Arial"/>
          <w:szCs w:val="22"/>
        </w:rPr>
        <w:t>plnenia podľa § 293</w:t>
      </w:r>
      <w:r w:rsidR="00B51C45">
        <w:rPr>
          <w:rFonts w:ascii="Arial" w:hAnsi="Arial" w:cs="Arial"/>
          <w:szCs w:val="22"/>
        </w:rPr>
        <w:t>o</w:t>
      </w:r>
      <w:r w:rsidR="00F859F7" w:rsidRPr="003E32A2">
        <w:rPr>
          <w:rFonts w:ascii="Arial" w:hAnsi="Arial" w:cs="Arial"/>
          <w:szCs w:val="22"/>
        </w:rPr>
        <w:t xml:space="preserve"> ods. 6</w:t>
      </w:r>
    </w:p>
    <w:p w14:paraId="0EE22FCA" w14:textId="31EAB989" w:rsidR="00F859F7" w:rsidRPr="003E32A2" w:rsidRDefault="00F859F7" w:rsidP="00F859F7">
      <w:pPr>
        <w:tabs>
          <w:tab w:val="left" w:pos="426"/>
        </w:tabs>
        <w:rPr>
          <w:rFonts w:ascii="Arial" w:hAnsi="Arial" w:cs="Arial"/>
          <w:szCs w:val="22"/>
        </w:rPr>
      </w:pPr>
      <w:r w:rsidRPr="003E32A2">
        <w:rPr>
          <w:rFonts w:ascii="Arial" w:hAnsi="Arial" w:cs="Arial"/>
          <w:szCs w:val="22"/>
        </w:rPr>
        <w:t>Štátne sociálne dávky zahŕňajú prí</w:t>
      </w:r>
      <w:r w:rsidR="00EA0FE8">
        <w:rPr>
          <w:rFonts w:ascii="Arial" w:hAnsi="Arial" w:cs="Arial"/>
          <w:szCs w:val="22"/>
        </w:rPr>
        <w:t>davok</w:t>
      </w:r>
      <w:r w:rsidRPr="003E32A2">
        <w:rPr>
          <w:rFonts w:ascii="Arial" w:hAnsi="Arial" w:cs="Arial"/>
          <w:szCs w:val="22"/>
        </w:rPr>
        <w:t xml:space="preserve"> na dieťa, rodičovský príspevok, príspevky náhradnej rodinnej starostlivosti, príspevok pri narodení die</w:t>
      </w:r>
      <w:r w:rsidRPr="003E32A2">
        <w:rPr>
          <w:rFonts w:ascii="Arial" w:hAnsi="Arial" w:cs="Arial"/>
          <w:szCs w:val="22"/>
        </w:rPr>
        <w:softHyphen/>
        <w:t>ťaťa, príspevok na pohreb, príspevok rodičom</w:t>
      </w:r>
      <w:r w:rsidR="002941DD">
        <w:rPr>
          <w:rFonts w:ascii="Arial" w:hAnsi="Arial" w:cs="Arial"/>
          <w:szCs w:val="22"/>
        </w:rPr>
        <w:t>,</w:t>
      </w:r>
      <w:r w:rsidRPr="003E32A2">
        <w:rPr>
          <w:rFonts w:ascii="Arial" w:hAnsi="Arial" w:cs="Arial"/>
          <w:szCs w:val="22"/>
        </w:rPr>
        <w:t xml:space="preserve"> ktorým sa narodili 3 alebo viac detí, príspevok na starostlivosť o dieťa.</w:t>
      </w:r>
    </w:p>
    <w:p w14:paraId="16501BD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Sociálne poistenie</w:t>
      </w:r>
    </w:p>
    <w:p w14:paraId="1A480D0D"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Zákon o sociálnom poistení, účinný od 1. januára 2004, novo definuje sústavu sociálneho poistenia. Jej súčasťou je okrem systémov nemocenského, dôchodkového a úrazového poistenia aj systém poistenia v neza</w:t>
      </w:r>
      <w:r w:rsidRPr="003E32A2">
        <w:rPr>
          <w:rFonts w:ascii="Arial" w:hAnsi="Arial" w:cs="Arial"/>
          <w:szCs w:val="22"/>
        </w:rPr>
        <w:softHyphen/>
        <w:t>mest</w:t>
      </w:r>
      <w:r w:rsidRPr="003E32A2">
        <w:rPr>
          <w:rFonts w:ascii="Arial" w:hAnsi="Arial" w:cs="Arial"/>
          <w:szCs w:val="22"/>
        </w:rPr>
        <w:softHyphen/>
        <w:t>na</w:t>
      </w:r>
      <w:r w:rsidRPr="003E32A2">
        <w:rPr>
          <w:rFonts w:ascii="Arial" w:hAnsi="Arial" w:cs="Arial"/>
          <w:szCs w:val="22"/>
        </w:rPr>
        <w:softHyphen/>
        <w:t>nosti a systém poistenia pre prípad platobnej neschopnosti zamestnávateľa (označený ako garančné poistenie). Dôchodkové poistenie sa rozčleňuje na starobné poistenie a invalidné poistenie. Sociálna poisťovňa vyberá poistné do ôsmich fondov - základný fond nemo</w:t>
      </w:r>
      <w:r w:rsidRPr="003E32A2">
        <w:rPr>
          <w:rFonts w:ascii="Arial" w:hAnsi="Arial" w:cs="Arial"/>
          <w:szCs w:val="22"/>
        </w:rPr>
        <w:softHyphen/>
        <w:t>cen</w:t>
      </w:r>
      <w:r w:rsidRPr="003E32A2">
        <w:rPr>
          <w:rFonts w:ascii="Arial" w:hAnsi="Arial" w:cs="Arial"/>
          <w:szCs w:val="22"/>
        </w:rPr>
        <w:softHyphen/>
        <w:t>ského poistenia, základný fond starobného poistenia, základný fond invalidného poistenia, zá</w:t>
      </w:r>
      <w:r w:rsidRPr="003E32A2">
        <w:rPr>
          <w:rFonts w:ascii="Arial" w:hAnsi="Arial" w:cs="Arial"/>
          <w:szCs w:val="22"/>
        </w:rPr>
        <w:softHyphen/>
        <w:t>kladný fond úrazového poistenia, základný fond garančného poistenia, základný fond poistenia v ne</w:t>
      </w:r>
      <w:r w:rsidRPr="003E32A2">
        <w:rPr>
          <w:rFonts w:ascii="Arial" w:hAnsi="Arial" w:cs="Arial"/>
          <w:szCs w:val="22"/>
        </w:rPr>
        <w:softHyphen/>
        <w:t xml:space="preserve">zamestnanosti, </w:t>
      </w:r>
      <w:r w:rsidRPr="003E32A2">
        <w:rPr>
          <w:rFonts w:ascii="Arial" w:hAnsi="Arial" w:cs="Arial"/>
          <w:strike/>
          <w:szCs w:val="22"/>
        </w:rPr>
        <w:t>a</w:t>
      </w:r>
      <w:r w:rsidRPr="003E32A2">
        <w:rPr>
          <w:rFonts w:ascii="Arial" w:hAnsi="Arial" w:cs="Arial"/>
          <w:szCs w:val="22"/>
        </w:rPr>
        <w:t> rezervný fond solidarity a osobitný fond (od roku 2020).</w:t>
      </w:r>
    </w:p>
    <w:p w14:paraId="59296351" w14:textId="000F0BFD" w:rsidR="00F859F7" w:rsidRPr="003E32A2" w:rsidRDefault="00F859F7" w:rsidP="00F859F7">
      <w:pPr>
        <w:tabs>
          <w:tab w:val="left" w:pos="426"/>
        </w:tabs>
        <w:rPr>
          <w:rFonts w:ascii="Arial" w:hAnsi="Arial" w:cs="Arial"/>
          <w:szCs w:val="22"/>
        </w:rPr>
      </w:pPr>
      <w:r w:rsidRPr="002941DD">
        <w:rPr>
          <w:rFonts w:ascii="Arial" w:hAnsi="Arial" w:cs="Arial"/>
          <w:szCs w:val="22"/>
          <w:u w:val="single"/>
        </w:rPr>
        <w:lastRenderedPageBreak/>
        <w:t>Dávky sociálneho poistenia</w:t>
      </w:r>
      <w:r w:rsidRPr="003E32A2">
        <w:rPr>
          <w:rFonts w:ascii="Arial" w:hAnsi="Arial" w:cs="Arial"/>
          <w:szCs w:val="22"/>
        </w:rPr>
        <w:t xml:space="preserve"> hradené štátom obsahujú úhradu nákladov Sociálnej poisťovne na dô</w:t>
      </w:r>
      <w:r w:rsidRPr="003E32A2">
        <w:rPr>
          <w:rFonts w:ascii="Arial" w:hAnsi="Arial" w:cs="Arial"/>
          <w:szCs w:val="22"/>
        </w:rPr>
        <w:softHyphen/>
        <w:t>chodok manželky, sociálny dôchodok, zvýšenie dôchodku z dôvodu jediného zdroja príjmu, zvýšenie dôchodku pre bezvládnosť, zvýšenie dôchodku z dôvodu účasti v odboji a rehabilitácie, nároky na dávky z doby pred 1. januárom 1957, odškodnenie pracovných úrazov a chorôb z po</w:t>
      </w:r>
      <w:r w:rsidRPr="003E32A2">
        <w:rPr>
          <w:rFonts w:ascii="Arial" w:hAnsi="Arial" w:cs="Arial"/>
          <w:szCs w:val="22"/>
        </w:rPr>
        <w:softHyphen/>
        <w:t>vo</w:t>
      </w:r>
      <w:r w:rsidRPr="003E32A2">
        <w:rPr>
          <w:rFonts w:ascii="Arial" w:hAnsi="Arial" w:cs="Arial"/>
          <w:szCs w:val="22"/>
        </w:rPr>
        <w:softHyphen/>
        <w:t>la</w:t>
      </w:r>
      <w:r w:rsidRPr="003E32A2">
        <w:rPr>
          <w:rFonts w:ascii="Arial" w:hAnsi="Arial" w:cs="Arial"/>
          <w:szCs w:val="22"/>
        </w:rPr>
        <w:softHyphen/>
        <w:t>nia zru</w:t>
      </w:r>
      <w:r w:rsidRPr="003E32A2">
        <w:rPr>
          <w:rFonts w:ascii="Arial" w:hAnsi="Arial" w:cs="Arial"/>
          <w:szCs w:val="22"/>
        </w:rPr>
        <w:softHyphen/>
        <w:t>še</w:t>
      </w:r>
      <w:r w:rsidRPr="003E32A2">
        <w:rPr>
          <w:rFonts w:ascii="Arial" w:hAnsi="Arial" w:cs="Arial"/>
          <w:szCs w:val="22"/>
        </w:rPr>
        <w:softHyphen/>
        <w:t>ných zamestnávateľov, ktorých zakladateľom bol štát alebo Fond národného majetku Slovenskej republiky, plnenia vyplývajúce zo zodpo</w:t>
      </w:r>
      <w:r w:rsidRPr="003E32A2">
        <w:rPr>
          <w:rFonts w:ascii="Arial" w:hAnsi="Arial" w:cs="Arial"/>
          <w:szCs w:val="22"/>
        </w:rPr>
        <w:softHyphen/>
        <w:t>ved</w:t>
      </w:r>
      <w:r w:rsidRPr="003E32A2">
        <w:rPr>
          <w:rFonts w:ascii="Arial" w:hAnsi="Arial" w:cs="Arial"/>
          <w:szCs w:val="22"/>
        </w:rPr>
        <w:softHyphen/>
        <w:t>nosti zamestnávateľa za škodu pri pracovnom úraze a chorobe z povolania vzniknuté pred 1.</w:t>
      </w:r>
      <w:r w:rsidR="002941DD">
        <w:rPr>
          <w:rFonts w:ascii="Arial" w:hAnsi="Arial" w:cs="Arial"/>
          <w:szCs w:val="22"/>
        </w:rPr>
        <w:t> </w:t>
      </w:r>
      <w:r w:rsidRPr="003E32A2">
        <w:rPr>
          <w:rFonts w:ascii="Arial" w:hAnsi="Arial" w:cs="Arial"/>
          <w:szCs w:val="22"/>
        </w:rPr>
        <w:t>aprílom 2002 u zamest</w:t>
      </w:r>
      <w:r w:rsidRPr="003E32A2">
        <w:rPr>
          <w:rFonts w:ascii="Arial" w:hAnsi="Arial" w:cs="Arial"/>
          <w:szCs w:val="22"/>
        </w:rPr>
        <w:softHyphen/>
        <w:t>návateľa, ktorý mal podľa oso</w:t>
      </w:r>
      <w:r w:rsidRPr="003E32A2">
        <w:rPr>
          <w:rFonts w:ascii="Arial" w:hAnsi="Arial" w:cs="Arial"/>
          <w:szCs w:val="22"/>
        </w:rPr>
        <w:softHyphen/>
        <w:t>bitného predpisu postavenie štátneho orgánu a úrazové dávky posky</w:t>
      </w:r>
      <w:r w:rsidRPr="003E32A2">
        <w:rPr>
          <w:rFonts w:ascii="Arial" w:hAnsi="Arial" w:cs="Arial"/>
          <w:szCs w:val="22"/>
        </w:rPr>
        <w:softHyphen/>
        <w:t>to</w:t>
      </w:r>
      <w:r w:rsidRPr="003E32A2">
        <w:rPr>
          <w:rFonts w:ascii="Arial" w:hAnsi="Arial" w:cs="Arial"/>
          <w:szCs w:val="22"/>
        </w:rPr>
        <w:softHyphen/>
        <w:t>vané fyzickým oso</w:t>
      </w:r>
      <w:r w:rsidRPr="003E32A2">
        <w:rPr>
          <w:rFonts w:ascii="Arial" w:hAnsi="Arial" w:cs="Arial"/>
          <w:szCs w:val="22"/>
        </w:rPr>
        <w:softHyphen/>
        <w:t>bám podľa § 17 ods. 2 a 3 zákona č.</w:t>
      </w:r>
      <w:r w:rsidR="002941DD">
        <w:rPr>
          <w:rFonts w:ascii="Arial" w:hAnsi="Arial" w:cs="Arial"/>
          <w:szCs w:val="22"/>
        </w:rPr>
        <w:t> </w:t>
      </w:r>
      <w:r w:rsidRPr="003E32A2">
        <w:rPr>
          <w:rFonts w:ascii="Arial" w:hAnsi="Arial" w:cs="Arial"/>
          <w:szCs w:val="22"/>
        </w:rPr>
        <w:t xml:space="preserve">461/2003 Z. z. o sociálnom poistení v znení neskorších predpisov. </w:t>
      </w:r>
    </w:p>
    <w:p w14:paraId="23D41217"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Spotrebiteľské ceny</w:t>
      </w:r>
    </w:p>
    <w:p w14:paraId="17D0E829" w14:textId="3F2C579A" w:rsidR="00ED34E9" w:rsidRPr="00ED34E9" w:rsidRDefault="00F859F7" w:rsidP="00ED34E9">
      <w:pPr>
        <w:tabs>
          <w:tab w:val="left" w:pos="426"/>
        </w:tabs>
        <w:spacing w:after="100"/>
        <w:rPr>
          <w:rFonts w:ascii="Arial" w:hAnsi="Arial" w:cs="Arial"/>
          <w:szCs w:val="22"/>
          <w:shd w:val="clear" w:color="auto" w:fill="FFFFFF"/>
        </w:rPr>
      </w:pPr>
      <w:r w:rsidRPr="003E32A2">
        <w:rPr>
          <w:rFonts w:ascii="Arial" w:hAnsi="Arial" w:cs="Arial"/>
          <w:szCs w:val="22"/>
        </w:rPr>
        <w:t>Indexové schémy cien (systémy váh, reprezentanti a respondenti) sa v pravidelných ročných</w:t>
      </w:r>
      <w:r w:rsidR="00DD479B">
        <w:rPr>
          <w:rFonts w:ascii="Arial" w:hAnsi="Arial" w:cs="Arial"/>
          <w:szCs w:val="22"/>
        </w:rPr>
        <w:t xml:space="preserve"> </w:t>
      </w:r>
      <w:r w:rsidRPr="003E32A2">
        <w:rPr>
          <w:rFonts w:ascii="Arial" w:hAnsi="Arial" w:cs="Arial"/>
          <w:szCs w:val="22"/>
        </w:rPr>
        <w:t>intervaloch prehodnocujú a prispôsobujú aktuálnym štruktúram. Vývoj indexov spotrebiteľských cien sa sleduje na univerzálnom spotrebnom koši vybraných druhov tovarov a služieb platených obyvateľstvom</w:t>
      </w:r>
      <w:r w:rsidRPr="003E32A2">
        <w:rPr>
          <w:rFonts w:ascii="Arial" w:hAnsi="Arial" w:cs="Arial"/>
          <w:szCs w:val="22"/>
          <w:shd w:val="clear" w:color="auto" w:fill="FFFFFF"/>
        </w:rPr>
        <w:t>. </w:t>
      </w:r>
      <w:r w:rsidR="00ED34E9" w:rsidRPr="00ED34E9">
        <w:rPr>
          <w:rFonts w:ascii="Arial" w:hAnsi="Arial" w:cs="Arial"/>
          <w:szCs w:val="22"/>
          <w:shd w:val="clear" w:color="auto" w:fill="FFFFFF"/>
        </w:rPr>
        <w:t xml:space="preserve">V roku 2024 prišlo ku zmene zisťovania cien za odbor 01 Potraviny a nealkoholické nápoje, kde </w:t>
      </w:r>
      <w:r w:rsidR="00ED34E9">
        <w:rPr>
          <w:rFonts w:ascii="Arial" w:hAnsi="Arial" w:cs="Arial"/>
          <w:szCs w:val="22"/>
          <w:shd w:val="clear" w:color="auto" w:fill="FFFFFF"/>
        </w:rPr>
        <w:t>sa</w:t>
      </w:r>
      <w:r w:rsidR="00ED34E9" w:rsidRPr="00ED34E9">
        <w:rPr>
          <w:rFonts w:ascii="Arial" w:hAnsi="Arial" w:cs="Arial"/>
          <w:szCs w:val="22"/>
          <w:shd w:val="clear" w:color="auto" w:fill="FFFFFF"/>
        </w:rPr>
        <w:t xml:space="preserve"> preš</w:t>
      </w:r>
      <w:r w:rsidR="00ED34E9">
        <w:rPr>
          <w:rFonts w:ascii="Arial" w:hAnsi="Arial" w:cs="Arial"/>
          <w:szCs w:val="22"/>
          <w:shd w:val="clear" w:color="auto" w:fill="FFFFFF"/>
        </w:rPr>
        <w:t>lo</w:t>
      </w:r>
      <w:r w:rsidR="00ED34E9" w:rsidRPr="00ED34E9">
        <w:rPr>
          <w:rFonts w:ascii="Arial" w:hAnsi="Arial" w:cs="Arial"/>
          <w:szCs w:val="22"/>
          <w:shd w:val="clear" w:color="auto" w:fill="FFFFFF"/>
        </w:rPr>
        <w:t xml:space="preserve"> z experimentálnej štatistiky do oficiálneho produkčného procesu využívania transakčných údajov obchodných reťazcov. Ide o využitie agregovaných údajov zaznamenávaných maloobchodníkmi pri nákupoch spotrebiteľov skenovaním čiarových kódov</w:t>
      </w:r>
      <w:r w:rsidR="00ED34E9">
        <w:rPr>
          <w:rFonts w:ascii="Arial" w:hAnsi="Arial" w:cs="Arial"/>
          <w:szCs w:val="22"/>
          <w:shd w:val="clear" w:color="auto" w:fill="FFFFFF"/>
        </w:rPr>
        <w:t>.</w:t>
      </w:r>
      <w:r w:rsidR="00ED34E9" w:rsidRPr="00ED34E9">
        <w:rPr>
          <w:rFonts w:ascii="Arial" w:hAnsi="Arial" w:cs="Arial"/>
          <w:szCs w:val="22"/>
          <w:shd w:val="clear" w:color="auto" w:fill="FFFFFF"/>
        </w:rPr>
        <w:t xml:space="preserve"> </w:t>
      </w:r>
      <w:r w:rsidR="00ED34E9">
        <w:rPr>
          <w:rFonts w:ascii="Arial" w:hAnsi="Arial" w:cs="Arial"/>
          <w:szCs w:val="22"/>
          <w:shd w:val="clear" w:color="auto" w:fill="FFFFFF"/>
        </w:rPr>
        <w:t>O</w:t>
      </w:r>
      <w:r w:rsidR="00ED34E9" w:rsidRPr="00ED34E9">
        <w:rPr>
          <w:rFonts w:ascii="Arial" w:hAnsi="Arial" w:cs="Arial"/>
          <w:szCs w:val="22"/>
          <w:shd w:val="clear" w:color="auto" w:fill="FFFFFF"/>
        </w:rPr>
        <w:t>d januára 2025 sa týmto spôsobom zisťujú aj ceny v odbore 02 Alkoholické nápoje a tabak.</w:t>
      </w:r>
    </w:p>
    <w:p w14:paraId="19C6B2E8" w14:textId="446721DE"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Váhová schéma je každoročne aktualizovaná, pričom podkladom pre aktualizáciu váhovej s</w:t>
      </w:r>
      <w:r w:rsidR="002941DD">
        <w:rPr>
          <w:rFonts w:ascii="Arial" w:hAnsi="Arial" w:cs="Arial"/>
          <w:szCs w:val="22"/>
        </w:rPr>
        <w:t>chémy sú výdavky za obdobie t-</w:t>
      </w:r>
      <w:r w:rsidRPr="003E32A2">
        <w:rPr>
          <w:rFonts w:ascii="Arial" w:hAnsi="Arial" w:cs="Arial"/>
          <w:szCs w:val="22"/>
        </w:rPr>
        <w:t>2, vypočítané na základe údajov zisťovaných z podkladov štatistiky rodinných účtov, zo systému ná</w:t>
      </w:r>
      <w:r w:rsidRPr="003E32A2">
        <w:rPr>
          <w:rFonts w:ascii="Arial" w:hAnsi="Arial" w:cs="Arial"/>
          <w:szCs w:val="22"/>
        </w:rPr>
        <w:softHyphen/>
        <w:t>rod</w:t>
      </w:r>
      <w:r w:rsidRPr="003E32A2">
        <w:rPr>
          <w:rFonts w:ascii="Arial" w:hAnsi="Arial" w:cs="Arial"/>
          <w:szCs w:val="22"/>
        </w:rPr>
        <w:softHyphen/>
        <w:t>ných účtov, z podkla</w:t>
      </w:r>
      <w:r w:rsidRPr="003E32A2">
        <w:rPr>
          <w:rFonts w:ascii="Arial" w:hAnsi="Arial" w:cs="Arial"/>
          <w:szCs w:val="22"/>
        </w:rPr>
        <w:softHyphen/>
        <w:t>dov úsekových štatistík a údajov získaných z rôz</w:t>
      </w:r>
      <w:r w:rsidRPr="003E32A2">
        <w:rPr>
          <w:rFonts w:ascii="Arial" w:hAnsi="Arial" w:cs="Arial"/>
          <w:szCs w:val="22"/>
        </w:rPr>
        <w:softHyphen/>
        <w:t>nych administratívnych zdrojov, ktoré boli použité na spresnenie štruktúry spotreby obyvateľstva. Váhy sú cenovo aktualizované.</w:t>
      </w:r>
    </w:p>
    <w:p w14:paraId="76CA2ABF"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 xml:space="preserve">Publikované indexy spotrebiteľských cien sú členené do 12 odborov podľa Klasifikácie individuálnej spotreby podľa účelu (COICOP z roku 1999). </w:t>
      </w:r>
    </w:p>
    <w:p w14:paraId="44D6D1A1"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Základným (referenčným) obdobím pre cenový index je december 2000. Od januára 2005 sa index spotrebiteľských cien k zák</w:t>
      </w:r>
      <w:r w:rsidRPr="003E32A2">
        <w:rPr>
          <w:rFonts w:ascii="Arial" w:hAnsi="Arial" w:cs="Arial"/>
          <w:szCs w:val="22"/>
        </w:rPr>
        <w:softHyphen/>
        <w:t>lad</w:t>
      </w:r>
      <w:r w:rsidRPr="003E32A2">
        <w:rPr>
          <w:rFonts w:ascii="Arial" w:hAnsi="Arial" w:cs="Arial"/>
          <w:szCs w:val="22"/>
        </w:rPr>
        <w:softHyphen/>
        <w:t>nému obdobiu počíta reťazením (cez december minulého roka).</w:t>
      </w:r>
    </w:p>
    <w:p w14:paraId="0034EB3A"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Ceny vo výrobnej sfére</w:t>
      </w:r>
    </w:p>
    <w:p w14:paraId="0930CC77" w14:textId="1CDCED4C"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Indexové schémy cien (systémy váh, reprezentanti a respondenti) sa v pravidelných 5-ročných</w:t>
      </w:r>
      <w:r w:rsidR="00DD479B">
        <w:rPr>
          <w:rFonts w:ascii="Arial" w:hAnsi="Arial" w:cs="Arial"/>
          <w:szCs w:val="22"/>
        </w:rPr>
        <w:t xml:space="preserve"> </w:t>
      </w:r>
      <w:r w:rsidRPr="003E32A2">
        <w:rPr>
          <w:rFonts w:ascii="Arial" w:hAnsi="Arial" w:cs="Arial"/>
          <w:szCs w:val="22"/>
        </w:rPr>
        <w:t>intervaloch prehodnocujú a prispôsobujú aktuálnym štruktúram. Ceny výrobcov sú zisťované bez DPH a spotrebných daní.</w:t>
      </w:r>
    </w:p>
    <w:p w14:paraId="3020B425" w14:textId="74C4EDDF"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Schémy indexov cien priemyselných výrobcov (ICPV) obsahujú cca 7 300 reprezentantov (3 700 vý</w:t>
      </w:r>
      <w:r w:rsidRPr="003E32A2">
        <w:rPr>
          <w:rFonts w:ascii="Arial" w:hAnsi="Arial" w:cs="Arial"/>
          <w:szCs w:val="22"/>
        </w:rPr>
        <w:softHyphen/>
        <w:t>robkov za tuzemsko a 3 600 výrobkov za export). Počet cenových reprezentantov sa priebežne ak</w:t>
      </w:r>
      <w:r w:rsidRPr="003E32A2">
        <w:rPr>
          <w:rFonts w:ascii="Arial" w:hAnsi="Arial" w:cs="Arial"/>
          <w:szCs w:val="22"/>
        </w:rPr>
        <w:softHyphen/>
        <w:t>tu</w:t>
      </w:r>
      <w:r w:rsidRPr="003E32A2">
        <w:rPr>
          <w:rFonts w:ascii="Arial" w:hAnsi="Arial" w:cs="Arial"/>
          <w:szCs w:val="22"/>
        </w:rPr>
        <w:softHyphen/>
        <w:t>alizuje. Od januára 20</w:t>
      </w:r>
      <w:r w:rsidR="003355E8">
        <w:rPr>
          <w:rFonts w:ascii="Arial" w:hAnsi="Arial" w:cs="Arial"/>
          <w:szCs w:val="22"/>
        </w:rPr>
        <w:t>24</w:t>
      </w:r>
      <w:r w:rsidRPr="003E32A2">
        <w:rPr>
          <w:rFonts w:ascii="Arial" w:hAnsi="Arial" w:cs="Arial"/>
          <w:szCs w:val="22"/>
        </w:rPr>
        <w:t xml:space="preserve"> sa ICPV sledujú a publikujú na schémach roku 20</w:t>
      </w:r>
      <w:r w:rsidR="003355E8">
        <w:rPr>
          <w:rFonts w:ascii="Arial" w:hAnsi="Arial" w:cs="Arial"/>
          <w:szCs w:val="22"/>
        </w:rPr>
        <w:t>21</w:t>
      </w:r>
      <w:r w:rsidRPr="003E32A2">
        <w:rPr>
          <w:rFonts w:ascii="Arial" w:hAnsi="Arial" w:cs="Arial"/>
          <w:szCs w:val="22"/>
        </w:rPr>
        <w:t>. Súčasne od roku 20</w:t>
      </w:r>
      <w:r w:rsidR="003355E8">
        <w:rPr>
          <w:rFonts w:ascii="Arial" w:hAnsi="Arial" w:cs="Arial"/>
          <w:szCs w:val="22"/>
        </w:rPr>
        <w:t>24</w:t>
      </w:r>
      <w:r w:rsidRPr="003E32A2">
        <w:rPr>
          <w:rFonts w:ascii="Arial" w:hAnsi="Arial" w:cs="Arial"/>
          <w:szCs w:val="22"/>
        </w:rPr>
        <w:t xml:space="preserve"> dochádza k zmene cenového základného obdobia na</w:t>
      </w:r>
      <w:r w:rsidR="00DD479B">
        <w:rPr>
          <w:rFonts w:ascii="Arial" w:hAnsi="Arial" w:cs="Arial"/>
          <w:szCs w:val="22"/>
        </w:rPr>
        <w:t xml:space="preserve"> </w:t>
      </w:r>
      <w:r w:rsidRPr="003E32A2">
        <w:rPr>
          <w:rFonts w:ascii="Arial" w:hAnsi="Arial" w:cs="Arial"/>
          <w:szCs w:val="22"/>
        </w:rPr>
        <w:t>december</w:t>
      </w:r>
      <w:r w:rsidR="00DD479B">
        <w:rPr>
          <w:rFonts w:ascii="Arial" w:hAnsi="Arial" w:cs="Arial"/>
          <w:szCs w:val="22"/>
        </w:rPr>
        <w:t xml:space="preserve"> </w:t>
      </w:r>
      <w:r w:rsidRPr="003E32A2">
        <w:rPr>
          <w:rFonts w:ascii="Arial" w:hAnsi="Arial" w:cs="Arial"/>
          <w:szCs w:val="22"/>
        </w:rPr>
        <w:t>20</w:t>
      </w:r>
      <w:r w:rsidR="003355E8">
        <w:rPr>
          <w:rFonts w:ascii="Arial" w:hAnsi="Arial" w:cs="Arial"/>
          <w:szCs w:val="22"/>
        </w:rPr>
        <w:t>21</w:t>
      </w:r>
      <w:r w:rsidRPr="003E32A2">
        <w:rPr>
          <w:rFonts w:ascii="Arial" w:hAnsi="Arial" w:cs="Arial"/>
          <w:szCs w:val="22"/>
        </w:rPr>
        <w:t xml:space="preserve"> (pred</w:t>
      </w:r>
      <w:r w:rsidRPr="003E32A2">
        <w:rPr>
          <w:rFonts w:ascii="Arial" w:hAnsi="Arial" w:cs="Arial"/>
          <w:szCs w:val="22"/>
        </w:rPr>
        <w:softHyphen/>
        <w:t>tým december 2010). Od januára 2009 sa ICPV sledujú za výrobky zatriedené podľa štatistickej klasifikácie ekonomických činností SK NACE Rev. 2.</w:t>
      </w:r>
    </w:p>
    <w:p w14:paraId="71ABB929"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Zo vstupných údajov časového radu indexov CPV pre tuzemsko a nového časového radu indexov CPV pre export je vytvorená váhová schéma pre výpočet súhrnných indexov CPV. Za každú oblasť (tu</w:t>
      </w:r>
      <w:r w:rsidRPr="003E32A2">
        <w:rPr>
          <w:rFonts w:ascii="Arial" w:hAnsi="Arial" w:cs="Arial"/>
          <w:szCs w:val="22"/>
        </w:rPr>
        <w:softHyphen/>
        <w:t>zem</w:t>
      </w:r>
      <w:r w:rsidRPr="003E32A2">
        <w:rPr>
          <w:rFonts w:ascii="Arial" w:hAnsi="Arial" w:cs="Arial"/>
          <w:szCs w:val="22"/>
        </w:rPr>
        <w:softHyphen/>
        <w:t>sko, export, súhrn) sa počítajú indexy samostatne.</w:t>
      </w:r>
    </w:p>
    <w:p w14:paraId="63EB40A8" w14:textId="07E1D674"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Do konca roku 2017 pre výpočet indexov cien produktov poľnohospodárskej výroby boli stanovené osobitné stále váhy, kôš sledovaných výrobkov a ceny príslušného mesiaca roku 2010. Od januára 20</w:t>
      </w:r>
      <w:r w:rsidR="003355E8">
        <w:rPr>
          <w:rFonts w:ascii="Arial" w:hAnsi="Arial" w:cs="Arial"/>
          <w:szCs w:val="22"/>
        </w:rPr>
        <w:t>24</w:t>
      </w:r>
      <w:r w:rsidRPr="003E32A2">
        <w:rPr>
          <w:rFonts w:ascii="Arial" w:hAnsi="Arial" w:cs="Arial"/>
          <w:szCs w:val="22"/>
        </w:rPr>
        <w:t xml:space="preserve"> je základným obdobím príslušný mesiac roku 20</w:t>
      </w:r>
      <w:r w:rsidR="003355E8">
        <w:rPr>
          <w:rFonts w:ascii="Arial" w:hAnsi="Arial" w:cs="Arial"/>
          <w:szCs w:val="22"/>
        </w:rPr>
        <w:t>20</w:t>
      </w:r>
      <w:r w:rsidRPr="003E32A2">
        <w:rPr>
          <w:rFonts w:ascii="Arial" w:hAnsi="Arial" w:cs="Arial"/>
          <w:szCs w:val="22"/>
        </w:rPr>
        <w:t>.</w:t>
      </w:r>
    </w:p>
    <w:p w14:paraId="531C5EB2"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Tržby za vlastné výkony a tovar</w:t>
      </w:r>
    </w:p>
    <w:p w14:paraId="0269C190"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Ukazovateľ tržby za vlastné výkony a tovar zahrnuje tržby za vlastné výrobky, tržby z predaja služieb a tržby za tovar, ktoré realizuje podnik za všetky svoje činnosti. Údaje sú agregované podľa hlavnej ekonomickej čin</w:t>
      </w:r>
      <w:r w:rsidRPr="003E32A2">
        <w:rPr>
          <w:rFonts w:ascii="Arial" w:hAnsi="Arial" w:cs="Arial"/>
          <w:szCs w:val="22"/>
        </w:rPr>
        <w:softHyphen/>
        <w:t xml:space="preserve">nosti podniku, sú bez dane z pridanej hodnoty a bez spotrebnej </w:t>
      </w:r>
      <w:r w:rsidRPr="003E32A2">
        <w:rPr>
          <w:rFonts w:ascii="Arial" w:hAnsi="Arial" w:cs="Arial"/>
          <w:szCs w:val="22"/>
        </w:rPr>
        <w:lastRenderedPageBreak/>
        <w:t>dane.</w:t>
      </w:r>
    </w:p>
    <w:p w14:paraId="2E335E32"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Poľnohospodárstvo</w:t>
      </w:r>
    </w:p>
    <w:p w14:paraId="03B17671" w14:textId="1D5293CD" w:rsidR="00F859F7" w:rsidRPr="003E32A2" w:rsidRDefault="00F859F7" w:rsidP="00F859F7">
      <w:pPr>
        <w:tabs>
          <w:tab w:val="left" w:pos="426"/>
        </w:tabs>
        <w:spacing w:after="100"/>
        <w:rPr>
          <w:rFonts w:ascii="Arial" w:hAnsi="Arial" w:cs="Arial"/>
          <w:szCs w:val="22"/>
        </w:rPr>
      </w:pPr>
      <w:r w:rsidRPr="002941DD">
        <w:rPr>
          <w:rFonts w:ascii="Arial" w:hAnsi="Arial" w:cs="Arial"/>
          <w:szCs w:val="22"/>
          <w:u w:val="single"/>
        </w:rPr>
        <w:t>Predaj poľnohospodárskych výrobkov</w:t>
      </w:r>
      <w:r w:rsidRPr="003E32A2">
        <w:rPr>
          <w:rFonts w:ascii="Arial" w:hAnsi="Arial" w:cs="Arial"/>
          <w:szCs w:val="22"/>
        </w:rPr>
        <w:t xml:space="preserve"> </w:t>
      </w:r>
      <w:r w:rsidR="00BD340D" w:rsidRPr="00BD340D">
        <w:rPr>
          <w:rFonts w:ascii="Arial" w:hAnsi="Arial" w:cs="Arial"/>
          <w:szCs w:val="22"/>
        </w:rPr>
        <w:t>v hmotnostných jednotkách</w:t>
      </w:r>
      <w:r w:rsidR="00BD340D">
        <w:rPr>
          <w:rFonts w:ascii="Arial" w:hAnsi="Arial" w:cs="Arial"/>
          <w:szCs w:val="22"/>
        </w:rPr>
        <w:t xml:space="preserve"> </w:t>
      </w:r>
      <w:r w:rsidRPr="003E32A2">
        <w:rPr>
          <w:rFonts w:ascii="Arial" w:hAnsi="Arial" w:cs="Arial"/>
          <w:szCs w:val="22"/>
        </w:rPr>
        <w:t>zahŕňa predaj vlastných živočíšnych produktov od prvovýrobcov obchodným (nákupným) a spracovateľským organizáciám, súkromníkom, zamest</w:t>
      </w:r>
      <w:r w:rsidRPr="003E32A2">
        <w:rPr>
          <w:rFonts w:ascii="Arial" w:hAnsi="Arial" w:cs="Arial"/>
          <w:szCs w:val="22"/>
        </w:rPr>
        <w:softHyphen/>
        <w:t>nancom a predaj mimo Slovenskú republiku (priamy vývoz).</w:t>
      </w:r>
    </w:p>
    <w:p w14:paraId="01A97B62" w14:textId="1C2885E5" w:rsidR="00571955" w:rsidRDefault="00F859F7" w:rsidP="00F859F7">
      <w:pPr>
        <w:tabs>
          <w:tab w:val="left" w:pos="426"/>
        </w:tabs>
        <w:spacing w:after="100"/>
        <w:rPr>
          <w:rFonts w:ascii="Arial" w:hAnsi="Arial" w:cs="Arial"/>
          <w:szCs w:val="22"/>
        </w:rPr>
      </w:pPr>
      <w:r w:rsidRPr="002941DD">
        <w:rPr>
          <w:rFonts w:ascii="Arial" w:hAnsi="Arial" w:cs="Arial"/>
          <w:szCs w:val="22"/>
          <w:u w:val="single"/>
        </w:rPr>
        <w:t>Tržby za predaj poľnohospodárskych výrobkov</w:t>
      </w:r>
      <w:r w:rsidRPr="003E32A2">
        <w:rPr>
          <w:rFonts w:ascii="Arial" w:hAnsi="Arial" w:cs="Arial"/>
          <w:szCs w:val="22"/>
        </w:rPr>
        <w:t xml:space="preserve"> a údaje o predaji živočíšnych výrobkov v hmotnost</w:t>
      </w:r>
      <w:r w:rsidRPr="003E32A2">
        <w:rPr>
          <w:rFonts w:ascii="Arial" w:hAnsi="Arial" w:cs="Arial"/>
          <w:szCs w:val="22"/>
        </w:rPr>
        <w:softHyphen/>
        <w:t>ných jednotkách sú za poľnohospodárske podniky zapísané v registri fariem, do ktorého sú zaradené všetky poľnohospodárske podniky zapísané v obchodnom registri a vybraní samostatne hospodáriaci roľníci so spravodajskou povinnosťou.</w:t>
      </w:r>
      <w:r w:rsidR="00BD340D">
        <w:rPr>
          <w:rFonts w:ascii="Arial" w:hAnsi="Arial" w:cs="Arial"/>
          <w:szCs w:val="22"/>
        </w:rPr>
        <w:t xml:space="preserve"> </w:t>
      </w:r>
    </w:p>
    <w:p w14:paraId="4A19821A" w14:textId="65427BF0" w:rsidR="00F859F7" w:rsidRPr="003E32A2" w:rsidRDefault="00BD340D" w:rsidP="00F859F7">
      <w:pPr>
        <w:tabs>
          <w:tab w:val="left" w:pos="426"/>
        </w:tabs>
        <w:spacing w:after="100"/>
        <w:rPr>
          <w:rFonts w:ascii="Arial" w:hAnsi="Arial" w:cs="Arial"/>
          <w:szCs w:val="22"/>
        </w:rPr>
      </w:pPr>
      <w:r w:rsidRPr="00BD340D">
        <w:rPr>
          <w:rFonts w:ascii="Arial" w:hAnsi="Arial" w:cs="Arial"/>
          <w:szCs w:val="22"/>
        </w:rPr>
        <w:t>Tržby za predaj vlastných rastlinných produktov sú uv</w:t>
      </w:r>
      <w:r w:rsidR="002870B1">
        <w:rPr>
          <w:rFonts w:ascii="Arial" w:hAnsi="Arial" w:cs="Arial"/>
          <w:szCs w:val="22"/>
        </w:rPr>
        <w:t>á</w:t>
      </w:r>
      <w:r w:rsidRPr="00BD340D">
        <w:rPr>
          <w:rFonts w:ascii="Arial" w:hAnsi="Arial" w:cs="Arial"/>
          <w:szCs w:val="22"/>
        </w:rPr>
        <w:t>d</w:t>
      </w:r>
      <w:r w:rsidR="002870B1">
        <w:rPr>
          <w:rFonts w:ascii="Arial" w:hAnsi="Arial" w:cs="Arial"/>
          <w:szCs w:val="22"/>
        </w:rPr>
        <w:t>za</w:t>
      </w:r>
      <w:r w:rsidRPr="00BD340D">
        <w:rPr>
          <w:rFonts w:ascii="Arial" w:hAnsi="Arial" w:cs="Arial"/>
          <w:szCs w:val="22"/>
        </w:rPr>
        <w:t>né iba v</w:t>
      </w:r>
      <w:r w:rsidR="00571955">
        <w:rPr>
          <w:rFonts w:ascii="Arial" w:hAnsi="Arial" w:cs="Arial"/>
          <w:szCs w:val="22"/>
        </w:rPr>
        <w:t>o</w:t>
      </w:r>
      <w:r w:rsidRPr="00BD340D">
        <w:rPr>
          <w:rFonts w:ascii="Arial" w:hAnsi="Arial" w:cs="Arial"/>
          <w:szCs w:val="22"/>
        </w:rPr>
        <w:t xml:space="preserve"> 4. štvrťroku.</w:t>
      </w:r>
    </w:p>
    <w:p w14:paraId="4FA0EA00" w14:textId="21A9A2B1"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Stavy hospodárskych zvierat, produkcia mlieka a vajec sú uvedené zo štvrťročného spracovania poľ</w:t>
      </w:r>
      <w:r w:rsidRPr="003E32A2">
        <w:rPr>
          <w:rFonts w:ascii="Arial" w:hAnsi="Arial" w:cs="Arial"/>
          <w:szCs w:val="22"/>
        </w:rPr>
        <w:softHyphen/>
        <w:t xml:space="preserve">nohospodárskeho výkazu za všetky právnické a fyzické osoby zapísané v registri fariem vrátane obyvateľstva a ostatných nezapísaných v registri fariem odhadnutých na základe </w:t>
      </w:r>
      <w:r w:rsidR="00B7734E" w:rsidRPr="003E32A2">
        <w:rPr>
          <w:rFonts w:ascii="Arial" w:hAnsi="Arial" w:cs="Arial"/>
          <w:szCs w:val="22"/>
        </w:rPr>
        <w:t>Integrovaného zisťovania fariem 2020.</w:t>
      </w:r>
    </w:p>
    <w:p w14:paraId="6B3DD192" w14:textId="77777777" w:rsidR="00F859F7" w:rsidRDefault="00F859F7" w:rsidP="006F0750">
      <w:pPr>
        <w:tabs>
          <w:tab w:val="left" w:pos="426"/>
        </w:tabs>
        <w:spacing w:after="100"/>
        <w:rPr>
          <w:rFonts w:ascii="Arial" w:hAnsi="Arial" w:cs="Arial"/>
          <w:szCs w:val="22"/>
        </w:rPr>
      </w:pPr>
      <w:r w:rsidRPr="003E32A2">
        <w:rPr>
          <w:rFonts w:ascii="Arial" w:hAnsi="Arial" w:cs="Arial"/>
          <w:szCs w:val="22"/>
        </w:rPr>
        <w:t>Od roku 2020 je zmena v metodike, v stavoch zvierat a v produkcii kravského mlieka a slepačích vajec údaje neobsahujú dopočet za domácnosti a za ostatných chovateľov nezapísaných v Registri fariem, za ktorých boli údaje odhadované na základe Poľnohospodárskeho štrukturálneho zisťovania.</w:t>
      </w:r>
    </w:p>
    <w:p w14:paraId="5059F2F7" w14:textId="77777777" w:rsidR="00B02FB1" w:rsidRPr="00B02FB1" w:rsidRDefault="00B02FB1" w:rsidP="00B02FB1">
      <w:pPr>
        <w:tabs>
          <w:tab w:val="left" w:pos="426"/>
        </w:tabs>
        <w:spacing w:after="100"/>
        <w:rPr>
          <w:rFonts w:ascii="Arial" w:hAnsi="Arial" w:cs="Arial"/>
          <w:szCs w:val="22"/>
        </w:rPr>
      </w:pPr>
      <w:r w:rsidRPr="00B02FB1">
        <w:rPr>
          <w:rFonts w:ascii="Arial" w:hAnsi="Arial" w:cs="Arial"/>
          <w:szCs w:val="22"/>
        </w:rPr>
        <w:t>Ukazovatele o úrode vybraných poľnohospodárskych plodín sú uvádzané od 2. štvrťroka, a to v 2. štvrťroku očakávaná úroda vybraných plodín k 15. augustu, v 3. štvrťroku očakávaná úroda vybraných plodín za príslušný rok a vo 4. štvrťroku sú uvádzané definitívne výsledky o úrode jednotlivých plodín.</w:t>
      </w:r>
    </w:p>
    <w:p w14:paraId="25CAD55C" w14:textId="77777777" w:rsidR="00B02FB1" w:rsidRPr="00B02FB1" w:rsidRDefault="00B02FB1" w:rsidP="00B02FB1">
      <w:pPr>
        <w:tabs>
          <w:tab w:val="left" w:pos="426"/>
        </w:tabs>
        <w:rPr>
          <w:rFonts w:ascii="Arial" w:hAnsi="Arial" w:cs="Arial"/>
          <w:szCs w:val="22"/>
        </w:rPr>
      </w:pPr>
      <w:r w:rsidRPr="00B02FB1">
        <w:rPr>
          <w:rFonts w:ascii="Arial" w:hAnsi="Arial" w:cs="Arial"/>
          <w:szCs w:val="22"/>
        </w:rPr>
        <w:t>Od roku 2025 je zmena v periodicite spracovania Štvrťročného výkazu o živočíšnej výrobe a predaji živočíšnych výrobkov, a to zo štvrťročnej periodicity na ročnú. To znamená, že ukazovatele za poľnohospodárstvo v časti živočíšna výroba a predaj živočíšnych výrobkov z prvovýroby budú zaradené v správe iba vo 4. štvrťroku.</w:t>
      </w:r>
    </w:p>
    <w:p w14:paraId="3D9DCA7F"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Priemyselná produkcia</w:t>
      </w:r>
    </w:p>
    <w:p w14:paraId="696E38BC" w14:textId="702B18D5" w:rsidR="00F859F7" w:rsidRPr="003E32A2" w:rsidRDefault="00F859F7" w:rsidP="00F859F7">
      <w:pPr>
        <w:tabs>
          <w:tab w:val="left" w:pos="426"/>
        </w:tabs>
        <w:spacing w:after="100"/>
        <w:rPr>
          <w:rStyle w:val="Zvraznenie1"/>
          <w:rFonts w:ascii="Arial" w:hAnsi="Arial" w:cs="Arial"/>
          <w:i w:val="0"/>
          <w:szCs w:val="22"/>
        </w:rPr>
      </w:pPr>
      <w:r w:rsidRPr="003E32A2">
        <w:rPr>
          <w:rFonts w:ascii="Arial" w:hAnsi="Arial" w:cs="Arial"/>
          <w:szCs w:val="22"/>
        </w:rPr>
        <w:t>Výpočet indexu priemyselnej produkcie (PP) je založený na zmene objemu vy</w:t>
      </w:r>
      <w:r w:rsidRPr="003E32A2">
        <w:rPr>
          <w:rFonts w:ascii="Arial" w:hAnsi="Arial" w:cs="Arial"/>
          <w:szCs w:val="22"/>
        </w:rPr>
        <w:softHyphen/>
        <w:t>bra</w:t>
      </w:r>
      <w:r w:rsidRPr="003E32A2">
        <w:rPr>
          <w:rFonts w:ascii="Arial" w:hAnsi="Arial" w:cs="Arial"/>
          <w:szCs w:val="22"/>
        </w:rPr>
        <w:softHyphen/>
        <w:t>ných výrobkov a prie</w:t>
      </w:r>
      <w:r w:rsidRPr="003E32A2">
        <w:rPr>
          <w:rFonts w:ascii="Arial" w:hAnsi="Arial" w:cs="Arial"/>
          <w:szCs w:val="22"/>
        </w:rPr>
        <w:softHyphen/>
        <w:t>my</w:t>
      </w:r>
      <w:r w:rsidRPr="003E32A2">
        <w:rPr>
          <w:rFonts w:ascii="Arial" w:hAnsi="Arial" w:cs="Arial"/>
          <w:szCs w:val="22"/>
        </w:rPr>
        <w:softHyphen/>
        <w:t>selných služieb a na dvoj</w:t>
      </w:r>
      <w:r w:rsidRPr="003E32A2">
        <w:rPr>
          <w:rFonts w:ascii="Arial" w:hAnsi="Arial" w:cs="Arial"/>
          <w:szCs w:val="22"/>
        </w:rPr>
        <w:softHyphen/>
        <w:t>stupňovom váhovom sys</w:t>
      </w:r>
      <w:r w:rsidRPr="003E32A2">
        <w:rPr>
          <w:rFonts w:ascii="Arial" w:hAnsi="Arial" w:cs="Arial"/>
          <w:szCs w:val="22"/>
        </w:rPr>
        <w:softHyphen/>
        <w:t>té</w:t>
      </w:r>
      <w:r w:rsidRPr="003E32A2">
        <w:rPr>
          <w:rFonts w:ascii="Arial" w:hAnsi="Arial" w:cs="Arial"/>
          <w:szCs w:val="22"/>
        </w:rPr>
        <w:softHyphen/>
        <w:t>me. B</w:t>
      </w:r>
      <w:r w:rsidRPr="003E32A2">
        <w:rPr>
          <w:rStyle w:val="Zvraznenie1"/>
          <w:rFonts w:ascii="Arial" w:hAnsi="Arial" w:cs="Arial"/>
          <w:i w:val="0"/>
          <w:szCs w:val="22"/>
        </w:rPr>
        <w:t>ázickým</w:t>
      </w:r>
      <w:r w:rsidRPr="003E32A2">
        <w:rPr>
          <w:rStyle w:val="Zvraznenie1"/>
          <w:rFonts w:ascii="Arial" w:hAnsi="Arial" w:cs="Arial"/>
          <w:szCs w:val="22"/>
        </w:rPr>
        <w:t xml:space="preserve"> </w:t>
      </w:r>
      <w:r w:rsidRPr="003E32A2">
        <w:rPr>
          <w:rStyle w:val="Zvraznenie1"/>
          <w:rFonts w:ascii="Arial" w:hAnsi="Arial" w:cs="Arial"/>
          <w:i w:val="0"/>
          <w:szCs w:val="22"/>
        </w:rPr>
        <w:t>obdobím PP je priemerný mesiac roku 20</w:t>
      </w:r>
      <w:r w:rsidR="003355E8">
        <w:rPr>
          <w:rStyle w:val="Zvraznenie1"/>
          <w:rFonts w:ascii="Arial" w:hAnsi="Arial" w:cs="Arial"/>
          <w:i w:val="0"/>
          <w:szCs w:val="22"/>
        </w:rPr>
        <w:t>2</w:t>
      </w:r>
      <w:r w:rsidR="002C3ADB">
        <w:rPr>
          <w:rStyle w:val="Zvraznenie1"/>
          <w:rFonts w:ascii="Arial" w:hAnsi="Arial" w:cs="Arial"/>
          <w:i w:val="0"/>
          <w:szCs w:val="22"/>
        </w:rPr>
        <w:t>1</w:t>
      </w:r>
      <w:r w:rsidRPr="003E32A2">
        <w:rPr>
          <w:rStyle w:val="Zvraznenie1"/>
          <w:rFonts w:ascii="Arial" w:hAnsi="Arial" w:cs="Arial"/>
          <w:i w:val="0"/>
          <w:szCs w:val="22"/>
        </w:rPr>
        <w:t>. Indexy oproti rov</w:t>
      </w:r>
      <w:r w:rsidRPr="003E32A2">
        <w:rPr>
          <w:rStyle w:val="Zvraznenie1"/>
          <w:rFonts w:ascii="Arial" w:hAnsi="Arial" w:cs="Arial"/>
          <w:i w:val="0"/>
          <w:szCs w:val="22"/>
        </w:rPr>
        <w:softHyphen/>
        <w:t>na</w:t>
      </w:r>
      <w:r w:rsidRPr="003E32A2">
        <w:rPr>
          <w:rStyle w:val="Zvraznenie1"/>
          <w:rFonts w:ascii="Arial" w:hAnsi="Arial" w:cs="Arial"/>
          <w:i w:val="0"/>
          <w:szCs w:val="22"/>
        </w:rPr>
        <w:softHyphen/>
      </w:r>
      <w:r w:rsidRPr="003E32A2">
        <w:rPr>
          <w:rStyle w:val="Zvraznenie1"/>
          <w:rFonts w:ascii="Arial" w:hAnsi="Arial" w:cs="Arial"/>
          <w:i w:val="0"/>
          <w:szCs w:val="22"/>
        </w:rPr>
        <w:softHyphen/>
        <w:t>kému obdobiu pred</w:t>
      </w:r>
      <w:r w:rsidRPr="003E32A2">
        <w:rPr>
          <w:rStyle w:val="Zvraznenie1"/>
          <w:rFonts w:ascii="Arial" w:hAnsi="Arial" w:cs="Arial"/>
          <w:i w:val="0"/>
          <w:szCs w:val="22"/>
        </w:rPr>
        <w:softHyphen/>
        <w:t>chá</w:t>
      </w:r>
      <w:r w:rsidRPr="003E32A2">
        <w:rPr>
          <w:rStyle w:val="Zvraznenie1"/>
          <w:rFonts w:ascii="Arial" w:hAnsi="Arial" w:cs="Arial"/>
          <w:i w:val="0"/>
          <w:szCs w:val="22"/>
        </w:rPr>
        <w:softHyphen/>
        <w:t>dza</w:t>
      </w:r>
      <w:r w:rsidRPr="003E32A2">
        <w:rPr>
          <w:rStyle w:val="Zvraznenie1"/>
          <w:rFonts w:ascii="Arial" w:hAnsi="Arial" w:cs="Arial"/>
          <w:i w:val="0"/>
          <w:szCs w:val="22"/>
        </w:rPr>
        <w:softHyphen/>
        <w:t>jú</w:t>
      </w:r>
      <w:r w:rsidRPr="003E32A2">
        <w:rPr>
          <w:rStyle w:val="Zvraznenie1"/>
          <w:rFonts w:ascii="Arial" w:hAnsi="Arial" w:cs="Arial"/>
          <w:i w:val="0"/>
          <w:szCs w:val="22"/>
        </w:rPr>
        <w:softHyphen/>
        <w:t>ceho roku sú odvo</w:t>
      </w:r>
      <w:r w:rsidRPr="003E32A2">
        <w:rPr>
          <w:rStyle w:val="Zvraznenie1"/>
          <w:rFonts w:ascii="Arial" w:hAnsi="Arial" w:cs="Arial"/>
          <w:i w:val="0"/>
          <w:szCs w:val="22"/>
        </w:rPr>
        <w:softHyphen/>
        <w:t>dené z me</w:t>
      </w:r>
      <w:r w:rsidRPr="003E32A2">
        <w:rPr>
          <w:rStyle w:val="Zvraznenie1"/>
          <w:rFonts w:ascii="Arial" w:hAnsi="Arial" w:cs="Arial"/>
          <w:i w:val="0"/>
          <w:szCs w:val="22"/>
        </w:rPr>
        <w:softHyphen/>
        <w:t>sač</w:t>
      </w:r>
      <w:r w:rsidRPr="003E32A2">
        <w:rPr>
          <w:rStyle w:val="Zvraznenie1"/>
          <w:rFonts w:ascii="Arial" w:hAnsi="Arial" w:cs="Arial"/>
          <w:i w:val="0"/>
          <w:szCs w:val="22"/>
        </w:rPr>
        <w:softHyphen/>
        <w:t>ného bázického indexu.</w:t>
      </w:r>
    </w:p>
    <w:p w14:paraId="448372E4"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Údaje sa očisťujú o vplyv počtu pracovných dní programom JDEMETRA+. Pri spracovaní každého mesiaca sa spätne upravujú údaje od začiatku časového radu.</w:t>
      </w:r>
    </w:p>
    <w:p w14:paraId="01DB729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Stavebníctvo</w:t>
      </w:r>
    </w:p>
    <w:p w14:paraId="5AC6E111" w14:textId="40DBA137" w:rsidR="00F859F7" w:rsidRPr="003E32A2" w:rsidRDefault="00F859F7" w:rsidP="00F859F7">
      <w:pPr>
        <w:tabs>
          <w:tab w:val="left" w:pos="426"/>
        </w:tabs>
        <w:rPr>
          <w:rFonts w:ascii="Arial" w:hAnsi="Arial" w:cs="Arial"/>
          <w:szCs w:val="22"/>
        </w:rPr>
      </w:pPr>
      <w:r w:rsidRPr="003E32A2">
        <w:rPr>
          <w:rFonts w:ascii="Arial" w:hAnsi="Arial" w:cs="Arial"/>
          <w:szCs w:val="22"/>
        </w:rPr>
        <w:t>Do produkcie odvetvia stavebníctva sa zahŕňa stavebná produkcia vykonaná na území Slovenskej republiky a v zahraničí dodávateľskými stavebnými podnikmi s prevažujúcou stavebnou činnosťou,</w:t>
      </w:r>
      <w:r w:rsidR="00DD479B">
        <w:rPr>
          <w:rFonts w:ascii="Arial" w:hAnsi="Arial" w:cs="Arial"/>
          <w:szCs w:val="22"/>
        </w:rPr>
        <w:t xml:space="preserve"> </w:t>
      </w:r>
      <w:r w:rsidRPr="003E32A2">
        <w:rPr>
          <w:rFonts w:ascii="Arial" w:hAnsi="Arial" w:cs="Arial"/>
          <w:szCs w:val="22"/>
        </w:rPr>
        <w:t>registrovanými v SR, vrátane živnostníkov a stavebných závodov nestavebných podnikov. Preva</w:t>
      </w:r>
      <w:r w:rsidRPr="003E32A2">
        <w:rPr>
          <w:rFonts w:ascii="Arial" w:hAnsi="Arial" w:cs="Arial"/>
          <w:szCs w:val="22"/>
        </w:rPr>
        <w:softHyphen/>
        <w:t>žu</w:t>
      </w:r>
      <w:r w:rsidRPr="003E32A2">
        <w:rPr>
          <w:rFonts w:ascii="Arial" w:hAnsi="Arial" w:cs="Arial"/>
          <w:szCs w:val="22"/>
        </w:rPr>
        <w:softHyphen/>
        <w:t>jú</w:t>
      </w:r>
      <w:r w:rsidRPr="003E32A2">
        <w:rPr>
          <w:rFonts w:ascii="Arial" w:hAnsi="Arial" w:cs="Arial"/>
          <w:szCs w:val="22"/>
        </w:rPr>
        <w:softHyphen/>
        <w:t>ca stavebná činnosť je určená registrovanou príslušnosťou podniku k divíziám 41 až 43 Šta</w:t>
      </w:r>
      <w:r w:rsidRPr="003E32A2">
        <w:rPr>
          <w:rFonts w:ascii="Arial" w:hAnsi="Arial" w:cs="Arial"/>
          <w:szCs w:val="22"/>
        </w:rPr>
        <w:softHyphen/>
        <w:t>tis</w:t>
      </w:r>
      <w:r w:rsidRPr="003E32A2">
        <w:rPr>
          <w:rFonts w:ascii="Arial" w:hAnsi="Arial" w:cs="Arial"/>
          <w:szCs w:val="22"/>
        </w:rPr>
        <w:softHyphen/>
        <w:t>tic</w:t>
      </w:r>
      <w:r w:rsidRPr="003E32A2">
        <w:rPr>
          <w:rFonts w:ascii="Arial" w:hAnsi="Arial" w:cs="Arial"/>
          <w:szCs w:val="22"/>
        </w:rPr>
        <w:softHyphen/>
        <w:t>kej kla</w:t>
      </w:r>
      <w:r w:rsidRPr="003E32A2">
        <w:rPr>
          <w:rFonts w:ascii="Arial" w:hAnsi="Arial" w:cs="Arial"/>
          <w:szCs w:val="22"/>
        </w:rPr>
        <w:softHyphen/>
        <w:t>si</w:t>
      </w:r>
      <w:r w:rsidRPr="003E32A2">
        <w:rPr>
          <w:rFonts w:ascii="Arial" w:hAnsi="Arial" w:cs="Arial"/>
          <w:szCs w:val="22"/>
        </w:rPr>
        <w:softHyphen/>
        <w:t>fi</w:t>
      </w:r>
      <w:r w:rsidRPr="003E32A2">
        <w:rPr>
          <w:rFonts w:ascii="Arial" w:hAnsi="Arial" w:cs="Arial"/>
          <w:szCs w:val="22"/>
        </w:rPr>
        <w:softHyphen/>
        <w:t>ká</w:t>
      </w:r>
      <w:r w:rsidRPr="003E32A2">
        <w:rPr>
          <w:rFonts w:ascii="Arial" w:hAnsi="Arial" w:cs="Arial"/>
          <w:szCs w:val="22"/>
        </w:rPr>
        <w:softHyphen/>
        <w:t>cie ekonomických činností SK NACE Rev. 2.</w:t>
      </w:r>
    </w:p>
    <w:p w14:paraId="1AB53274"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Verejná a neverejná doprava</w:t>
      </w:r>
    </w:p>
    <w:p w14:paraId="345D5E7D" w14:textId="5DAE0FA2"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Do verejnej dopravy patria podniky s prevažujúcou dopravnou činnosťou vykonávajúce prepra</w:t>
      </w:r>
      <w:r w:rsidRPr="003E32A2">
        <w:rPr>
          <w:rFonts w:ascii="Arial" w:hAnsi="Arial" w:cs="Arial"/>
          <w:szCs w:val="22"/>
        </w:rPr>
        <w:softHyphen/>
        <w:t>vu tovaru a osôb vo vnútroštátnej a medzinárodnej doprave vrátane vedľajších a</w:t>
      </w:r>
      <w:r w:rsidR="00CE7BAD">
        <w:rPr>
          <w:rFonts w:ascii="Arial" w:hAnsi="Arial" w:cs="Arial"/>
          <w:szCs w:val="22"/>
        </w:rPr>
        <w:t> </w:t>
      </w:r>
      <w:r w:rsidRPr="003E32A2">
        <w:rPr>
          <w:rFonts w:ascii="Arial" w:hAnsi="Arial" w:cs="Arial"/>
          <w:szCs w:val="22"/>
        </w:rPr>
        <w:t>pomocných činností v dop</w:t>
      </w:r>
      <w:r w:rsidRPr="003E32A2">
        <w:rPr>
          <w:rFonts w:ascii="Arial" w:hAnsi="Arial" w:cs="Arial"/>
          <w:szCs w:val="22"/>
        </w:rPr>
        <w:softHyphen/>
        <w:t>ra</w:t>
      </w:r>
      <w:r w:rsidRPr="003E32A2">
        <w:rPr>
          <w:rFonts w:ascii="Arial" w:hAnsi="Arial" w:cs="Arial"/>
          <w:szCs w:val="22"/>
        </w:rPr>
        <w:softHyphen/>
        <w:t>ve.</w:t>
      </w:r>
    </w:p>
    <w:p w14:paraId="7CFEACC9"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Do neverejnej dopravy sú zahrnuté podniky s prevažujúcou činnosťou nedopravnou, vykonávajúce prepravnú činnosť pre vlastné potreby (na zabezpečenie vlastného výrob</w:t>
      </w:r>
      <w:r w:rsidRPr="003E32A2">
        <w:rPr>
          <w:rFonts w:ascii="Arial" w:hAnsi="Arial" w:cs="Arial"/>
          <w:szCs w:val="22"/>
        </w:rPr>
        <w:softHyphen/>
        <w:t>né</w:t>
      </w:r>
      <w:r w:rsidRPr="003E32A2">
        <w:rPr>
          <w:rFonts w:ascii="Arial" w:hAnsi="Arial" w:cs="Arial"/>
          <w:szCs w:val="22"/>
        </w:rPr>
        <w:softHyphen/>
        <w:t>ho procesu) a pre cudzie potreby (za úplatu na základe právneho vzťahu).</w:t>
      </w:r>
    </w:p>
    <w:p w14:paraId="513790E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Podnikateľské subjekty</w:t>
      </w:r>
    </w:p>
    <w:p w14:paraId="5BBDFD4D"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lastRenderedPageBreak/>
        <w:t>Publikované údaje sa týkajú len takých právnických osôb a fyzických osôb-podnikateľov, ktoré sú v registri organizácií ŠÚ SR v sledovanom období označené ako ekonomicky aktívne.</w:t>
      </w:r>
    </w:p>
    <w:p w14:paraId="22AB4C97"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Právnické osoby sú jednotky s právnou subjektivitou, ktorých existenciu upravuje zákon nezávisle od jednotlivcov alebo inštitúcií, ktoré ich vlastnia, alebo sú jej členmi.</w:t>
      </w:r>
    </w:p>
    <w:p w14:paraId="20A5F9A0"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Podniky sú právnické osoby, ktoré vyrábajú výrobky alebo poskytujú služby. Patria sem obchodné spoločnosti ako napr. akciové spoločnosti, družstvá, spoločnosti s ručením obmedzeným a pod.</w:t>
      </w:r>
    </w:p>
    <w:p w14:paraId="1A662E84"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Fyzické osoby–podnikatelia sú právne jednotky, ktoré podnikajú alebo vykonávajú inú samostatne zárobkovú činnosť podľa osobitných právnych predpisov vo vlastnom mene, na vlastný účet a na vlastnú zodpovednosť. Patria sem živnostníci (podnikajúci na základe živnostenského oprávnenia), osoby so slobodným povolaním (osoby podnikajúce na základe iného ako živnostenského oprávnenia, napr. advokáti, lekári, audítori a. i.) a samostatne hospodáriaci roľníci (osoby vykonávajúce poľnohospodársku výrobu).</w:t>
      </w:r>
    </w:p>
    <w:p w14:paraId="5D134B0E"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Neziskové inštitúcie sú právnické osoby slúžiace podnikom, štátnej správe a domácnostiam, ako napr. rozpočtové organizácie, príspevkové organizácie, ktorých tržby z činnosti nepresahujú 50 % vykazovaných nákladov, občianske združenia, spolky a kluby, politické strany, cirkvi a iné.</w:t>
      </w:r>
    </w:p>
    <w:p w14:paraId="48332E67" w14:textId="20A02CB1"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Verejný sektor zahŕňa podniky vo vlastníctve štátnej alebo územnej samosprávy a podniky s</w:t>
      </w:r>
      <w:r w:rsidR="00664149">
        <w:rPr>
          <w:rFonts w:ascii="Arial" w:hAnsi="Arial" w:cs="Arial"/>
          <w:szCs w:val="22"/>
        </w:rPr>
        <w:t> </w:t>
      </w:r>
      <w:r w:rsidRPr="003E32A2">
        <w:rPr>
          <w:rFonts w:ascii="Arial" w:hAnsi="Arial" w:cs="Arial"/>
          <w:szCs w:val="22"/>
        </w:rPr>
        <w:t xml:space="preserve">medzinárodným vlastníctvom, ktoré sú pod verejnou kontrolou. </w:t>
      </w:r>
    </w:p>
    <w:p w14:paraId="6E8808D8"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Súkromný sektor zahŕňa podniky vo vlastníctve súkromných tuzemských alebo zahraničných právnických alebo fyzických osôb, ktoré nie sú pod verejnou kontrolou.</w:t>
      </w:r>
    </w:p>
    <w:p w14:paraId="73C84818"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Veľkostné skupiny podnikov</w:t>
      </w:r>
    </w:p>
    <w:p w14:paraId="6582A3D9" w14:textId="429CC456" w:rsidR="00F859F7" w:rsidRPr="003E32A2" w:rsidRDefault="00F859F7" w:rsidP="00F859F7">
      <w:pPr>
        <w:tabs>
          <w:tab w:val="left" w:pos="426"/>
        </w:tabs>
        <w:rPr>
          <w:rFonts w:ascii="Arial" w:hAnsi="Arial" w:cs="Arial"/>
          <w:b/>
          <w:szCs w:val="22"/>
        </w:rPr>
      </w:pPr>
      <w:r w:rsidRPr="003E32A2">
        <w:rPr>
          <w:rFonts w:ascii="Arial" w:hAnsi="Arial" w:cs="Arial"/>
          <w:szCs w:val="22"/>
        </w:rPr>
        <w:t>Za malé podniky sú považované podniky s počtom zamestnancov 0 až 19, za stredné podniky s poč</w:t>
      </w:r>
      <w:r w:rsidRPr="003E32A2">
        <w:rPr>
          <w:rFonts w:ascii="Arial" w:hAnsi="Arial" w:cs="Arial"/>
          <w:szCs w:val="22"/>
        </w:rPr>
        <w:softHyphen/>
        <w:t>tom zamest</w:t>
      </w:r>
      <w:r w:rsidRPr="003E32A2">
        <w:rPr>
          <w:rFonts w:ascii="Arial" w:hAnsi="Arial" w:cs="Arial"/>
          <w:szCs w:val="22"/>
        </w:rPr>
        <w:softHyphen/>
        <w:t>nancov 20 až 249</w:t>
      </w:r>
      <w:r w:rsidR="00DD479B">
        <w:rPr>
          <w:rFonts w:ascii="Arial" w:hAnsi="Arial" w:cs="Arial"/>
          <w:szCs w:val="22"/>
        </w:rPr>
        <w:t xml:space="preserve"> </w:t>
      </w:r>
      <w:r w:rsidRPr="003E32A2">
        <w:rPr>
          <w:rFonts w:ascii="Arial" w:hAnsi="Arial" w:cs="Arial"/>
          <w:szCs w:val="22"/>
        </w:rPr>
        <w:t>a za veľké podniky zamestnávajúce 250 a viac osôb</w:t>
      </w:r>
      <w:r w:rsidRPr="003E32A2">
        <w:rPr>
          <w:rFonts w:ascii="Arial" w:hAnsi="Arial" w:cs="Arial"/>
          <w:b/>
          <w:szCs w:val="22"/>
        </w:rPr>
        <w:t>.</w:t>
      </w:r>
    </w:p>
    <w:p w14:paraId="5FD4A1A8" w14:textId="08CC00A0" w:rsidR="00F859F7" w:rsidRPr="00CE7BAD" w:rsidRDefault="00F859F7" w:rsidP="00CE7BAD">
      <w:pPr>
        <w:pStyle w:val="Nadpis2"/>
        <w:tabs>
          <w:tab w:val="left" w:pos="426"/>
        </w:tabs>
        <w:spacing w:before="200"/>
        <w:rPr>
          <w:rFonts w:cs="Arial"/>
          <w:sz w:val="22"/>
          <w:szCs w:val="22"/>
        </w:rPr>
      </w:pPr>
      <w:r w:rsidRPr="00CE7BAD">
        <w:rPr>
          <w:rFonts w:cs="Arial"/>
          <w:sz w:val="22"/>
          <w:szCs w:val="22"/>
        </w:rPr>
        <w:t>Odchýlky v súčtoch a podieloch</w:t>
      </w:r>
      <w:r w:rsidR="00DD479B">
        <w:rPr>
          <w:rFonts w:cs="Arial"/>
          <w:sz w:val="22"/>
          <w:szCs w:val="22"/>
        </w:rPr>
        <w:t xml:space="preserve"> </w:t>
      </w:r>
    </w:p>
    <w:p w14:paraId="7B4AA476" w14:textId="77777777" w:rsidR="00F859F7" w:rsidRPr="003E32A2" w:rsidRDefault="00F859F7" w:rsidP="00F859F7">
      <w:pPr>
        <w:pStyle w:val="Nadpis2"/>
        <w:tabs>
          <w:tab w:val="left" w:pos="426"/>
        </w:tabs>
        <w:spacing w:before="0"/>
        <w:rPr>
          <w:rFonts w:cs="Arial"/>
          <w:b w:val="0"/>
          <w:sz w:val="22"/>
          <w:szCs w:val="22"/>
        </w:rPr>
      </w:pPr>
      <w:r w:rsidRPr="003E32A2">
        <w:rPr>
          <w:rFonts w:cs="Arial"/>
          <w:b w:val="0"/>
          <w:sz w:val="22"/>
          <w:szCs w:val="22"/>
        </w:rPr>
        <w:t>Prípadné odchýlky v súčtoch a podieloch vznikajú za</w:t>
      </w:r>
      <w:r w:rsidRPr="003E32A2">
        <w:rPr>
          <w:rFonts w:cs="Arial"/>
          <w:b w:val="0"/>
          <w:sz w:val="22"/>
          <w:szCs w:val="22"/>
        </w:rPr>
        <w:softHyphen/>
        <w:t>o</w:t>
      </w:r>
      <w:r w:rsidRPr="003E32A2">
        <w:rPr>
          <w:rFonts w:cs="Arial"/>
          <w:b w:val="0"/>
          <w:sz w:val="22"/>
          <w:szCs w:val="22"/>
        </w:rPr>
        <w:softHyphen/>
        <w:t>krúh</w:t>
      </w:r>
      <w:r w:rsidRPr="003E32A2">
        <w:rPr>
          <w:rFonts w:cs="Arial"/>
          <w:b w:val="0"/>
          <w:sz w:val="22"/>
          <w:szCs w:val="22"/>
        </w:rPr>
        <w:softHyphen/>
        <w:t xml:space="preserve">ľovaním údajov. </w:t>
      </w:r>
    </w:p>
    <w:p w14:paraId="79943B6C"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Veľkosť súboru publikovaných údajov</w:t>
      </w:r>
    </w:p>
    <w:p w14:paraId="46B8A87A" w14:textId="7044BC9A" w:rsidR="00F859F7" w:rsidRPr="003E32A2" w:rsidRDefault="00F859F7" w:rsidP="00F859F7">
      <w:pPr>
        <w:tabs>
          <w:tab w:val="left" w:pos="426"/>
        </w:tabs>
        <w:rPr>
          <w:rFonts w:ascii="Arial" w:hAnsi="Arial" w:cs="Arial"/>
          <w:szCs w:val="22"/>
        </w:rPr>
      </w:pPr>
      <w:r w:rsidRPr="003E32A2">
        <w:rPr>
          <w:rFonts w:ascii="Arial" w:hAnsi="Arial" w:cs="Arial"/>
          <w:szCs w:val="22"/>
        </w:rPr>
        <w:t>Ak v textovej časti, v názve tabuľky alebo v poznámke pod tabuľkou nie je uvedená veľkosť súboru publikovaných údajov, údaje sú za celú ekonomiku SR. V prípade zdrojových údajov zistených formou výberového štatistického zisťovania sa následne realizujú odhady výstupných údajov za základný súbor štatistických jednotiek. V niektorých prípadoch sa vykonávajú odhady na celý súbor za ekonomiku</w:t>
      </w:r>
      <w:r w:rsidR="00DD479B">
        <w:rPr>
          <w:rFonts w:ascii="Arial" w:hAnsi="Arial" w:cs="Arial"/>
          <w:szCs w:val="22"/>
        </w:rPr>
        <w:t xml:space="preserve"> </w:t>
      </w:r>
      <w:r w:rsidRPr="003E32A2">
        <w:rPr>
          <w:rFonts w:ascii="Arial" w:hAnsi="Arial" w:cs="Arial"/>
          <w:szCs w:val="22"/>
        </w:rPr>
        <w:t xml:space="preserve">SR s využitím administratívnych a iných zdrojov údajov. </w:t>
      </w:r>
    </w:p>
    <w:p w14:paraId="35242F1B"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Údaje podľa krajov</w:t>
      </w:r>
    </w:p>
    <w:p w14:paraId="482FF008" w14:textId="77777777" w:rsidR="00F859F7" w:rsidRPr="003E32A2" w:rsidRDefault="00F859F7" w:rsidP="00F859F7">
      <w:pPr>
        <w:tabs>
          <w:tab w:val="left" w:pos="426"/>
        </w:tabs>
        <w:rPr>
          <w:rFonts w:ascii="Arial" w:hAnsi="Arial" w:cs="Arial"/>
          <w:color w:val="FF0000"/>
          <w:szCs w:val="22"/>
        </w:rPr>
      </w:pPr>
      <w:r w:rsidRPr="003E32A2">
        <w:rPr>
          <w:rFonts w:ascii="Arial" w:hAnsi="Arial" w:cs="Arial"/>
          <w:szCs w:val="22"/>
        </w:rPr>
        <w:t>Publikované údaje v členení podľa krajov za súbor podnikov s počtom zamestnancov 0 až 19 a fyzické osoby podnikateľov a ich zamestnancov sú výsledkom expertných odhadov.</w:t>
      </w:r>
    </w:p>
    <w:p w14:paraId="721838D9" w14:textId="01DA194D" w:rsidR="009F4B5C" w:rsidRDefault="009F4B5C">
      <w:pPr>
        <w:tabs>
          <w:tab w:val="left" w:pos="426"/>
        </w:tabs>
        <w:rPr>
          <w:rFonts w:ascii="Arial" w:hAnsi="Arial" w:cs="Arial"/>
          <w:b/>
          <w:szCs w:val="22"/>
        </w:rPr>
      </w:pPr>
    </w:p>
    <w:p w14:paraId="270941E4" w14:textId="73B15467" w:rsidR="00952D51" w:rsidRDefault="00952D51">
      <w:pPr>
        <w:tabs>
          <w:tab w:val="left" w:pos="426"/>
        </w:tabs>
        <w:rPr>
          <w:rFonts w:ascii="Arial" w:hAnsi="Arial" w:cs="Arial"/>
          <w:b/>
          <w:szCs w:val="22"/>
        </w:rPr>
      </w:pPr>
    </w:p>
    <w:p w14:paraId="74FFE408" w14:textId="02F45DEA" w:rsidR="00952D51" w:rsidRDefault="00952D51">
      <w:pPr>
        <w:tabs>
          <w:tab w:val="left" w:pos="426"/>
        </w:tabs>
        <w:rPr>
          <w:rFonts w:ascii="Arial" w:hAnsi="Arial" w:cs="Arial"/>
          <w:b/>
          <w:szCs w:val="22"/>
        </w:rPr>
      </w:pPr>
    </w:p>
    <w:p w14:paraId="73C38949" w14:textId="7B3EB824" w:rsidR="00952D51" w:rsidRDefault="00952D51">
      <w:pPr>
        <w:tabs>
          <w:tab w:val="left" w:pos="426"/>
        </w:tabs>
        <w:rPr>
          <w:rFonts w:ascii="Arial" w:hAnsi="Arial" w:cs="Arial"/>
          <w:b/>
          <w:szCs w:val="22"/>
        </w:rPr>
      </w:pPr>
    </w:p>
    <w:p w14:paraId="302B2A2D" w14:textId="014C5B2D" w:rsidR="00952D51" w:rsidRDefault="00952D51">
      <w:pPr>
        <w:tabs>
          <w:tab w:val="left" w:pos="426"/>
        </w:tabs>
        <w:rPr>
          <w:rFonts w:ascii="Arial" w:hAnsi="Arial" w:cs="Arial"/>
          <w:b/>
          <w:szCs w:val="22"/>
        </w:rPr>
      </w:pPr>
    </w:p>
    <w:p w14:paraId="69526E8A" w14:textId="62230729" w:rsidR="00952D51" w:rsidRDefault="00952D51">
      <w:pPr>
        <w:tabs>
          <w:tab w:val="left" w:pos="426"/>
        </w:tabs>
        <w:rPr>
          <w:rFonts w:ascii="Arial" w:hAnsi="Arial" w:cs="Arial"/>
          <w:b/>
          <w:szCs w:val="22"/>
        </w:rPr>
      </w:pPr>
    </w:p>
    <w:p w14:paraId="74D6A215" w14:textId="315748BE" w:rsidR="00952D51" w:rsidRDefault="00952D51">
      <w:pPr>
        <w:tabs>
          <w:tab w:val="left" w:pos="426"/>
        </w:tabs>
        <w:rPr>
          <w:rFonts w:ascii="Arial" w:hAnsi="Arial" w:cs="Arial"/>
          <w:b/>
          <w:szCs w:val="22"/>
        </w:rPr>
      </w:pPr>
    </w:p>
    <w:p w14:paraId="7C8E801B" w14:textId="5B243B9A" w:rsidR="00952D51" w:rsidRDefault="00952D51">
      <w:pPr>
        <w:tabs>
          <w:tab w:val="left" w:pos="426"/>
        </w:tabs>
        <w:rPr>
          <w:rFonts w:ascii="Arial" w:hAnsi="Arial" w:cs="Arial"/>
          <w:b/>
          <w:szCs w:val="22"/>
        </w:rPr>
      </w:pPr>
    </w:p>
    <w:p w14:paraId="180F74EA" w14:textId="16A4F28B" w:rsidR="00952D51" w:rsidRDefault="00952D51">
      <w:pPr>
        <w:tabs>
          <w:tab w:val="left" w:pos="426"/>
        </w:tabs>
        <w:rPr>
          <w:rFonts w:ascii="Arial" w:hAnsi="Arial" w:cs="Arial"/>
          <w:b/>
          <w:szCs w:val="22"/>
        </w:rPr>
      </w:pPr>
    </w:p>
    <w:p w14:paraId="50F97079" w14:textId="78D8DB5E" w:rsidR="00952D51" w:rsidRDefault="00952D51">
      <w:pPr>
        <w:tabs>
          <w:tab w:val="left" w:pos="426"/>
        </w:tabs>
        <w:rPr>
          <w:rFonts w:ascii="Arial" w:hAnsi="Arial" w:cs="Arial"/>
          <w:b/>
          <w:szCs w:val="22"/>
        </w:rPr>
      </w:pPr>
    </w:p>
    <w:p w14:paraId="32649611" w14:textId="501BC7D5" w:rsidR="00952D51" w:rsidRDefault="00952D51">
      <w:pPr>
        <w:tabs>
          <w:tab w:val="left" w:pos="426"/>
        </w:tabs>
        <w:rPr>
          <w:rFonts w:ascii="Arial" w:hAnsi="Arial" w:cs="Arial"/>
          <w:b/>
          <w:szCs w:val="22"/>
        </w:rPr>
      </w:pPr>
    </w:p>
    <w:p w14:paraId="54CE25F2" w14:textId="019AADC7" w:rsidR="00952D51" w:rsidRDefault="00952D51">
      <w:pPr>
        <w:tabs>
          <w:tab w:val="left" w:pos="426"/>
        </w:tabs>
        <w:rPr>
          <w:rFonts w:ascii="Arial" w:hAnsi="Arial" w:cs="Arial"/>
          <w:b/>
          <w:szCs w:val="22"/>
        </w:rPr>
      </w:pPr>
    </w:p>
    <w:p w14:paraId="260968E3" w14:textId="35FF0B88" w:rsidR="00952D51" w:rsidRDefault="00952D51">
      <w:pPr>
        <w:tabs>
          <w:tab w:val="left" w:pos="426"/>
        </w:tabs>
        <w:rPr>
          <w:rFonts w:ascii="Arial" w:hAnsi="Arial" w:cs="Arial"/>
          <w:b/>
          <w:szCs w:val="22"/>
        </w:rPr>
      </w:pPr>
    </w:p>
    <w:p w14:paraId="146A2B7D" w14:textId="421053B9" w:rsidR="00952D51" w:rsidRDefault="00952D51">
      <w:pPr>
        <w:tabs>
          <w:tab w:val="left" w:pos="426"/>
        </w:tabs>
        <w:rPr>
          <w:rFonts w:ascii="Arial" w:hAnsi="Arial" w:cs="Arial"/>
          <w:b/>
          <w:szCs w:val="22"/>
        </w:rPr>
      </w:pPr>
    </w:p>
    <w:p w14:paraId="0768B7E0" w14:textId="382D6D91" w:rsidR="00952D51" w:rsidRDefault="00952D51">
      <w:pPr>
        <w:tabs>
          <w:tab w:val="left" w:pos="426"/>
        </w:tabs>
        <w:rPr>
          <w:rFonts w:ascii="Arial" w:hAnsi="Arial" w:cs="Arial"/>
          <w:b/>
          <w:szCs w:val="22"/>
        </w:rPr>
      </w:pPr>
    </w:p>
    <w:p w14:paraId="41D12798" w14:textId="0C9A9884" w:rsidR="00952D51" w:rsidRDefault="00952D51">
      <w:pPr>
        <w:tabs>
          <w:tab w:val="left" w:pos="426"/>
        </w:tabs>
        <w:rPr>
          <w:rFonts w:ascii="Arial" w:hAnsi="Arial" w:cs="Arial"/>
          <w:b/>
          <w:szCs w:val="22"/>
        </w:rPr>
      </w:pPr>
    </w:p>
    <w:p w14:paraId="21D9B1C8" w14:textId="30D1FB1F" w:rsidR="00952D51" w:rsidRDefault="00952D51">
      <w:pPr>
        <w:tabs>
          <w:tab w:val="left" w:pos="426"/>
        </w:tabs>
        <w:rPr>
          <w:rFonts w:ascii="Arial" w:hAnsi="Arial" w:cs="Arial"/>
          <w:b/>
          <w:szCs w:val="22"/>
        </w:rPr>
      </w:pPr>
    </w:p>
    <w:p w14:paraId="029BAD0E" w14:textId="2A764CE6" w:rsidR="00952D51" w:rsidRDefault="00952D51">
      <w:pPr>
        <w:tabs>
          <w:tab w:val="left" w:pos="426"/>
        </w:tabs>
        <w:rPr>
          <w:rFonts w:ascii="Arial" w:hAnsi="Arial" w:cs="Arial"/>
          <w:b/>
          <w:szCs w:val="22"/>
        </w:rPr>
      </w:pPr>
    </w:p>
    <w:p w14:paraId="1770DDE3" w14:textId="4D48FEC2" w:rsidR="00952D51" w:rsidRDefault="00952D51">
      <w:pPr>
        <w:tabs>
          <w:tab w:val="left" w:pos="426"/>
        </w:tabs>
        <w:rPr>
          <w:rFonts w:ascii="Arial" w:hAnsi="Arial" w:cs="Arial"/>
          <w:b/>
          <w:szCs w:val="22"/>
        </w:rPr>
      </w:pPr>
    </w:p>
    <w:p w14:paraId="0462388A" w14:textId="14FCCD17" w:rsidR="00952D51" w:rsidRDefault="00952D51">
      <w:pPr>
        <w:tabs>
          <w:tab w:val="left" w:pos="426"/>
        </w:tabs>
        <w:rPr>
          <w:rFonts w:ascii="Arial" w:hAnsi="Arial" w:cs="Arial"/>
          <w:b/>
          <w:szCs w:val="22"/>
        </w:rPr>
      </w:pPr>
    </w:p>
    <w:p w14:paraId="4154A1FA" w14:textId="2AF74EA7" w:rsidR="00952D51" w:rsidRDefault="00952D51">
      <w:pPr>
        <w:tabs>
          <w:tab w:val="left" w:pos="426"/>
        </w:tabs>
        <w:rPr>
          <w:rFonts w:ascii="Arial" w:hAnsi="Arial" w:cs="Arial"/>
          <w:b/>
          <w:szCs w:val="22"/>
        </w:rPr>
      </w:pPr>
    </w:p>
    <w:p w14:paraId="6C9113E3" w14:textId="23439BC4" w:rsidR="00952D51" w:rsidRDefault="00952D51">
      <w:pPr>
        <w:tabs>
          <w:tab w:val="left" w:pos="426"/>
        </w:tabs>
        <w:rPr>
          <w:rFonts w:ascii="Arial" w:hAnsi="Arial" w:cs="Arial"/>
          <w:b/>
          <w:szCs w:val="22"/>
        </w:rPr>
      </w:pPr>
    </w:p>
    <w:p w14:paraId="73BB6E6A" w14:textId="3F7D8EFA" w:rsidR="00952D51" w:rsidRDefault="00952D51">
      <w:pPr>
        <w:tabs>
          <w:tab w:val="left" w:pos="426"/>
        </w:tabs>
        <w:rPr>
          <w:rFonts w:ascii="Arial" w:hAnsi="Arial" w:cs="Arial"/>
          <w:b/>
          <w:szCs w:val="22"/>
        </w:rPr>
      </w:pPr>
    </w:p>
    <w:p w14:paraId="4EE2DF64" w14:textId="28D78E83" w:rsidR="00952D51" w:rsidRDefault="00952D51">
      <w:pPr>
        <w:tabs>
          <w:tab w:val="left" w:pos="426"/>
        </w:tabs>
        <w:rPr>
          <w:rFonts w:ascii="Arial" w:hAnsi="Arial" w:cs="Arial"/>
          <w:b/>
          <w:szCs w:val="22"/>
        </w:rPr>
      </w:pPr>
    </w:p>
    <w:p w14:paraId="7082FAB9" w14:textId="538B1302" w:rsidR="00952D51" w:rsidRDefault="00952D51">
      <w:pPr>
        <w:tabs>
          <w:tab w:val="left" w:pos="426"/>
        </w:tabs>
        <w:rPr>
          <w:rFonts w:ascii="Arial" w:hAnsi="Arial" w:cs="Arial"/>
          <w:b/>
          <w:szCs w:val="22"/>
        </w:rPr>
      </w:pPr>
    </w:p>
    <w:p w14:paraId="19650939" w14:textId="21CF540F" w:rsidR="00952D51" w:rsidRDefault="00952D51">
      <w:pPr>
        <w:tabs>
          <w:tab w:val="left" w:pos="426"/>
        </w:tabs>
        <w:rPr>
          <w:rFonts w:ascii="Arial" w:hAnsi="Arial" w:cs="Arial"/>
          <w:b/>
          <w:szCs w:val="22"/>
        </w:rPr>
      </w:pPr>
    </w:p>
    <w:p w14:paraId="29D890DA" w14:textId="7AB5A09B" w:rsidR="00952D51" w:rsidRDefault="00952D51">
      <w:pPr>
        <w:tabs>
          <w:tab w:val="left" w:pos="426"/>
        </w:tabs>
        <w:rPr>
          <w:rFonts w:ascii="Arial" w:hAnsi="Arial" w:cs="Arial"/>
          <w:b/>
          <w:szCs w:val="22"/>
        </w:rPr>
      </w:pPr>
    </w:p>
    <w:p w14:paraId="24DF606F" w14:textId="29B0E463" w:rsidR="00952D51" w:rsidRDefault="00952D51">
      <w:pPr>
        <w:tabs>
          <w:tab w:val="left" w:pos="426"/>
        </w:tabs>
        <w:rPr>
          <w:rFonts w:ascii="Arial" w:hAnsi="Arial" w:cs="Arial"/>
          <w:b/>
          <w:szCs w:val="22"/>
        </w:rPr>
      </w:pPr>
    </w:p>
    <w:p w14:paraId="02367CB1" w14:textId="5EC78142" w:rsidR="00952D51" w:rsidRDefault="00952D51">
      <w:pPr>
        <w:tabs>
          <w:tab w:val="left" w:pos="426"/>
        </w:tabs>
        <w:rPr>
          <w:rFonts w:ascii="Arial" w:hAnsi="Arial" w:cs="Arial"/>
          <w:b/>
          <w:szCs w:val="22"/>
        </w:rPr>
      </w:pPr>
    </w:p>
    <w:p w14:paraId="26B6B15F" w14:textId="039FB169" w:rsidR="00952D51" w:rsidRDefault="00952D51">
      <w:pPr>
        <w:tabs>
          <w:tab w:val="left" w:pos="426"/>
        </w:tabs>
        <w:rPr>
          <w:rFonts w:ascii="Arial" w:hAnsi="Arial" w:cs="Arial"/>
          <w:b/>
          <w:szCs w:val="22"/>
        </w:rPr>
      </w:pPr>
    </w:p>
    <w:p w14:paraId="2065AB04" w14:textId="5727F976" w:rsidR="00952D51" w:rsidRDefault="00952D51">
      <w:pPr>
        <w:tabs>
          <w:tab w:val="left" w:pos="426"/>
        </w:tabs>
        <w:rPr>
          <w:rFonts w:ascii="Arial" w:hAnsi="Arial" w:cs="Arial"/>
          <w:b/>
          <w:szCs w:val="22"/>
        </w:rPr>
      </w:pPr>
    </w:p>
    <w:p w14:paraId="3399F71D" w14:textId="24FF26C4" w:rsidR="00952D51" w:rsidRDefault="00952D51">
      <w:pPr>
        <w:tabs>
          <w:tab w:val="left" w:pos="426"/>
        </w:tabs>
        <w:rPr>
          <w:rFonts w:ascii="Arial" w:hAnsi="Arial" w:cs="Arial"/>
          <w:b/>
          <w:szCs w:val="22"/>
        </w:rPr>
      </w:pPr>
    </w:p>
    <w:p w14:paraId="6B7EE0D4" w14:textId="00FB52D4" w:rsidR="00952D51" w:rsidRDefault="00952D51">
      <w:pPr>
        <w:tabs>
          <w:tab w:val="left" w:pos="426"/>
        </w:tabs>
        <w:rPr>
          <w:rFonts w:ascii="Arial" w:hAnsi="Arial" w:cs="Arial"/>
          <w:b/>
          <w:szCs w:val="22"/>
        </w:rPr>
      </w:pPr>
    </w:p>
    <w:p w14:paraId="44A55081" w14:textId="0194D10D" w:rsidR="00952D51" w:rsidRDefault="00952D51">
      <w:pPr>
        <w:tabs>
          <w:tab w:val="left" w:pos="426"/>
        </w:tabs>
        <w:rPr>
          <w:rFonts w:ascii="Arial" w:hAnsi="Arial" w:cs="Arial"/>
          <w:b/>
          <w:szCs w:val="22"/>
        </w:rPr>
      </w:pPr>
    </w:p>
    <w:p w14:paraId="4524997E" w14:textId="7A1FB7F6" w:rsidR="00952D51" w:rsidRDefault="00952D51">
      <w:pPr>
        <w:tabs>
          <w:tab w:val="left" w:pos="426"/>
        </w:tabs>
        <w:rPr>
          <w:rFonts w:ascii="Arial" w:hAnsi="Arial" w:cs="Arial"/>
          <w:b/>
          <w:szCs w:val="22"/>
        </w:rPr>
      </w:pPr>
    </w:p>
    <w:p w14:paraId="2DE15DE4" w14:textId="1A43F53C" w:rsidR="00952D51" w:rsidRDefault="00952D51">
      <w:pPr>
        <w:tabs>
          <w:tab w:val="left" w:pos="426"/>
        </w:tabs>
        <w:rPr>
          <w:rFonts w:ascii="Arial" w:hAnsi="Arial" w:cs="Arial"/>
          <w:b/>
          <w:szCs w:val="22"/>
        </w:rPr>
      </w:pPr>
    </w:p>
    <w:p w14:paraId="3C23BDBD" w14:textId="023FC089" w:rsidR="00952D51" w:rsidRDefault="00952D51">
      <w:pPr>
        <w:tabs>
          <w:tab w:val="left" w:pos="426"/>
        </w:tabs>
        <w:rPr>
          <w:rFonts w:ascii="Arial" w:hAnsi="Arial" w:cs="Arial"/>
          <w:b/>
          <w:szCs w:val="22"/>
        </w:rPr>
      </w:pPr>
    </w:p>
    <w:p w14:paraId="538D8CB9" w14:textId="7ACA4F0F" w:rsidR="00952D51" w:rsidRDefault="00952D51">
      <w:pPr>
        <w:tabs>
          <w:tab w:val="left" w:pos="426"/>
        </w:tabs>
        <w:rPr>
          <w:rFonts w:ascii="Arial" w:hAnsi="Arial" w:cs="Arial"/>
          <w:b/>
          <w:szCs w:val="22"/>
        </w:rPr>
      </w:pPr>
    </w:p>
    <w:p w14:paraId="44D5C704" w14:textId="58F8D3F8" w:rsidR="00952D51" w:rsidRDefault="00952D51">
      <w:pPr>
        <w:tabs>
          <w:tab w:val="left" w:pos="426"/>
        </w:tabs>
        <w:rPr>
          <w:rFonts w:ascii="Arial" w:hAnsi="Arial" w:cs="Arial"/>
          <w:b/>
          <w:szCs w:val="22"/>
        </w:rPr>
      </w:pPr>
    </w:p>
    <w:p w14:paraId="56FE615A" w14:textId="275036DD" w:rsidR="00952D51" w:rsidRDefault="00952D51">
      <w:pPr>
        <w:tabs>
          <w:tab w:val="left" w:pos="426"/>
        </w:tabs>
        <w:rPr>
          <w:rFonts w:ascii="Arial" w:hAnsi="Arial" w:cs="Arial"/>
          <w:b/>
          <w:szCs w:val="22"/>
        </w:rPr>
      </w:pPr>
    </w:p>
    <w:p w14:paraId="4B557561" w14:textId="00AAA7DF" w:rsidR="00952D51" w:rsidRDefault="00952D51">
      <w:pPr>
        <w:tabs>
          <w:tab w:val="left" w:pos="426"/>
        </w:tabs>
        <w:rPr>
          <w:rFonts w:ascii="Arial" w:hAnsi="Arial" w:cs="Arial"/>
          <w:b/>
          <w:szCs w:val="22"/>
        </w:rPr>
      </w:pPr>
    </w:p>
    <w:p w14:paraId="79AE153D" w14:textId="44C63D77" w:rsidR="00952D51" w:rsidRPr="00952D51" w:rsidRDefault="00952D51" w:rsidP="00952D51">
      <w:pPr>
        <w:tabs>
          <w:tab w:val="left" w:pos="426"/>
        </w:tabs>
        <w:jc w:val="center"/>
        <w:rPr>
          <w:rFonts w:ascii="Arial" w:hAnsi="Arial" w:cs="Arial"/>
          <w:b/>
          <w:sz w:val="28"/>
          <w:szCs w:val="28"/>
        </w:rPr>
      </w:pPr>
      <w:r w:rsidRPr="00952D51">
        <w:rPr>
          <w:rFonts w:ascii="Arial" w:hAnsi="Arial" w:cs="Arial"/>
          <w:b/>
          <w:sz w:val="28"/>
          <w:szCs w:val="28"/>
        </w:rPr>
        <w:t>Tabuľková časť</w:t>
      </w:r>
    </w:p>
    <w:sectPr w:rsidR="00952D51" w:rsidRPr="00952D51" w:rsidSect="009F4B5C">
      <w:footerReference w:type="default" r:id="rId17"/>
      <w:endnotePr>
        <w:numFmt w:val="decimal"/>
      </w:endnotePr>
      <w:type w:val="continuous"/>
      <w:pgSz w:w="11907" w:h="16840"/>
      <w:pgMar w:top="1134" w:right="1418" w:bottom="1418" w:left="1418" w:header="709" w:footer="1247" w:gutter="0"/>
      <w:paperSrc w:first="7" w:other="7"/>
      <w:pgNumType w:start="1"/>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03378" w14:textId="77777777" w:rsidR="00DE4EFE" w:rsidRDefault="00DE4EFE">
      <w:r>
        <w:separator/>
      </w:r>
    </w:p>
  </w:endnote>
  <w:endnote w:type="continuationSeparator" w:id="0">
    <w:p w14:paraId="1CD39383" w14:textId="77777777" w:rsidR="00DE4EFE" w:rsidRDefault="00DE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8D00" w14:textId="1863EE1B" w:rsidR="00B53E33" w:rsidRDefault="00B53E33">
    <w:pPr>
      <w:pStyle w:val="Pta"/>
      <w:framePr w:wrap="auto" w:vAnchor="text" w:hAnchor="margin" w:xAlign="center" w:y="1"/>
    </w:pPr>
  </w:p>
  <w:p w14:paraId="4CA0002E" w14:textId="77777777" w:rsidR="00B53E33" w:rsidRDefault="00B53E33">
    <w:pPr>
      <w:pStyle w:val="Pta"/>
      <w:widowControl/>
      <w:ind w:right="360"/>
    </w:pPr>
  </w:p>
  <w:p w14:paraId="3133D3FB" w14:textId="77777777" w:rsidR="00B53E33" w:rsidRDefault="00B53E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BE9F5" w14:textId="77777777" w:rsidR="00DE4EFE" w:rsidRDefault="00DE4EFE">
      <w:r>
        <w:separator/>
      </w:r>
    </w:p>
  </w:footnote>
  <w:footnote w:type="continuationSeparator" w:id="0">
    <w:p w14:paraId="6E062774" w14:textId="77777777" w:rsidR="00DE4EFE" w:rsidRDefault="00DE4EFE">
      <w:r>
        <w:continuationSeparator/>
      </w:r>
    </w:p>
  </w:footnote>
  <w:footnote w:id="1">
    <w:p w14:paraId="1286B659" w14:textId="197BF9B9" w:rsidR="00B53E33" w:rsidRPr="00582A87" w:rsidRDefault="00B53E33" w:rsidP="00E04F4F">
      <w:pPr>
        <w:pStyle w:val="Textpoznmkypodiarou"/>
      </w:pPr>
      <w:r w:rsidRPr="009423A6">
        <w:rPr>
          <w:rStyle w:val="Odkaznapoznmkupodiarou"/>
        </w:rPr>
        <w:footnoteRef/>
      </w:r>
      <w:r w:rsidRPr="009423A6">
        <w:rPr>
          <w:rStyle w:val="Odkaznapoznmkupodiarou"/>
        </w:rPr>
        <w:t>)</w:t>
      </w:r>
      <w:r w:rsidRPr="009423A6">
        <w:rPr>
          <w:sz w:val="22"/>
          <w:szCs w:val="22"/>
        </w:rPr>
        <w:t> </w:t>
      </w:r>
      <w:r w:rsidRPr="009423A6">
        <w:t xml:space="preserve">pokiaľ nie je uvedené inak, absolútne hodnoty a štruktúra za HDP a jeho zložky sú v bežných cenách, údaje o medziročnom </w:t>
      </w:r>
      <w:r w:rsidRPr="00582A87">
        <w:t>vývoji sú zo stálych cien vypočítaných reťazením objemov k referenčnému roku 20</w:t>
      </w:r>
      <w:r w:rsidR="004170F5">
        <w:t>20</w:t>
      </w:r>
      <w:r w:rsidRPr="00582A87">
        <w:t xml:space="preserve"> </w:t>
      </w:r>
    </w:p>
  </w:footnote>
  <w:footnote w:id="2">
    <w:p w14:paraId="550E3658" w14:textId="12DBFA35" w:rsidR="00B53E33" w:rsidRPr="00B17A2F" w:rsidRDefault="00B53E33" w:rsidP="000C4AAF">
      <w:pPr>
        <w:pStyle w:val="Textkomentra"/>
        <w:rPr>
          <w:rFonts w:ascii="Arial" w:hAnsi="Arial"/>
          <w:color w:val="FF0000"/>
          <w:sz w:val="16"/>
        </w:rPr>
      </w:pPr>
      <w:r w:rsidRPr="00582A87">
        <w:rPr>
          <w:rStyle w:val="Odkaznapoznmkupodiarou"/>
          <w:rFonts w:ascii="Arial" w:hAnsi="Arial" w:cs="Arial"/>
        </w:rPr>
        <w:footnoteRef/>
      </w:r>
      <w:r w:rsidRPr="00582A87">
        <w:rPr>
          <w:rStyle w:val="Odkaznapoznmkupodiarou"/>
          <w:rFonts w:ascii="Arial" w:hAnsi="Arial" w:cs="Arial"/>
        </w:rPr>
        <w:t>)</w:t>
      </w:r>
      <w:r w:rsidRPr="00582A87">
        <w:rPr>
          <w:rFonts w:ascii="Arial" w:hAnsi="Arial" w:cs="Arial"/>
        </w:rPr>
        <w:t xml:space="preserve"> </w:t>
      </w:r>
      <w:r w:rsidRPr="00366A2D">
        <w:rPr>
          <w:rFonts w:ascii="Arial" w:hAnsi="Arial" w:cs="Arial"/>
          <w:sz w:val="16"/>
          <w:szCs w:val="16"/>
        </w:rPr>
        <w:t>údaje sú sezónne upravené programom JDemetra+ a pri spracovaní každého štvrťroka sa spresňujú v celom časovom rade</w:t>
      </w:r>
    </w:p>
  </w:footnote>
  <w:footnote w:id="3">
    <w:p w14:paraId="1D47A8C9" w14:textId="77777777" w:rsidR="00B53E33" w:rsidRDefault="00B53E33" w:rsidP="000501CA">
      <w:pPr>
        <w:pStyle w:val="Textpoznmkypodiarou"/>
      </w:pPr>
      <w:r>
        <w:rPr>
          <w:rStyle w:val="Odkaznapoznmkupodiarou"/>
        </w:rPr>
        <w:footnoteRef/>
      </w:r>
      <w:r>
        <w:rPr>
          <w:rStyle w:val="Odkaznapoznmkupodiarou"/>
        </w:rPr>
        <w:t>)</w:t>
      </w:r>
      <w:r>
        <w:t> </w:t>
      </w:r>
      <w:r>
        <w:rPr>
          <w:color w:val="000000"/>
        </w:rPr>
        <w:t xml:space="preserve">produktivita práce z HDP je vypočítaná ako podiel </w:t>
      </w:r>
      <w:r w:rsidRPr="00FB3F88">
        <w:t>HDP na celkovú zamestnanosť</w:t>
      </w:r>
      <w:r>
        <w:rPr>
          <w:color w:val="000000"/>
        </w:rPr>
        <w:t xml:space="preserve"> v ekonomike podľa domáceho konceptu ESA 2010</w:t>
      </w:r>
      <w:r>
        <w:rPr>
          <w:rStyle w:val="Odkaznapoznmkupodiarou"/>
        </w:rPr>
        <w:t xml:space="preserve"> </w:t>
      </w:r>
    </w:p>
  </w:footnote>
  <w:footnote w:id="4">
    <w:p w14:paraId="6122E030" w14:textId="77777777" w:rsidR="00B53E33" w:rsidRPr="0003379E" w:rsidRDefault="00B53E33" w:rsidP="003D7206">
      <w:pPr>
        <w:pStyle w:val="Textpoznmkypodiarou"/>
      </w:pPr>
      <w:r>
        <w:rPr>
          <w:rStyle w:val="Odkaznapoznmkupodiarou"/>
        </w:rPr>
        <w:footnoteRef/>
      </w:r>
      <w:r>
        <w:rPr>
          <w:rStyle w:val="Odkaznapoznmkupodiarou"/>
        </w:rPr>
        <w:t>)</w:t>
      </w:r>
      <w:r>
        <w:t xml:space="preserve"> </w:t>
      </w:r>
      <w:r w:rsidRPr="0003379E">
        <w:t>pracujúci v zmysle novej metodiky VZPS platnej v EÚ od roku 2021 (IESS) sú všetky osoby vo veku od 15 do 89 rokov, ktoré v sledovanom (referenčnom) týždni vykonávajú aspoň 1 hodinu prácu za mzdu, plat, odmenu alebo pracovnú činnosť za účelom dosiahnutia zisku, vrátane osôb vykonávajúcich prácu na základe dohôd, sezónnych pracovníkov, osôb na materskej alebo rodičovskej dovolenke, osôb pracujúc</w:t>
      </w:r>
      <w:r>
        <w:t>ich v zahraničí menej ako 1 rok a</w:t>
      </w:r>
      <w:r w:rsidRPr="0003379E">
        <w:t xml:space="preserve"> osôb dochádzajúcich za prácou do zahraničia; respondenti sú zahrnutí do odvetví podľa ekonomickej činnosti miestn</w:t>
      </w:r>
      <w:r>
        <w:t>ej jednotky nie celého podniku</w:t>
      </w:r>
    </w:p>
  </w:footnote>
  <w:footnote w:id="5">
    <w:p w14:paraId="11FF81FC" w14:textId="77777777" w:rsidR="00B53E33" w:rsidRDefault="00B53E33" w:rsidP="003D7206">
      <w:pPr>
        <w:pStyle w:val="Textpoznmkypodiarou"/>
      </w:pPr>
      <w:r>
        <w:rPr>
          <w:rStyle w:val="Odkaznapoznmkupodiarou"/>
        </w:rPr>
        <w:footnoteRef/>
      </w:r>
      <w:r w:rsidRPr="004E0CD3">
        <w:rPr>
          <w:rStyle w:val="Odkaznapoznmkupodiarou"/>
        </w:rPr>
        <w:t>)</w:t>
      </w:r>
      <w:r>
        <w:t xml:space="preserve"> migrácia za prácou do zahraničia do 1 roku vrátane časovo neobmedzenej dochádzky za prácou cez hranice </w:t>
      </w:r>
      <w:r w:rsidRPr="002B73A7">
        <w:t>v zmysle novej metodiky VZPS platnej v EÚ od roku 2021 (IESS)</w:t>
      </w:r>
    </w:p>
  </w:footnote>
  <w:footnote w:id="6">
    <w:p w14:paraId="122A4D48" w14:textId="77777777" w:rsidR="00B53E33" w:rsidRDefault="00B53E33" w:rsidP="00434768">
      <w:pPr>
        <w:pStyle w:val="Textpoznmkypodiarou"/>
      </w:pPr>
      <w:r>
        <w:rPr>
          <w:rStyle w:val="Odkaznapoznmkupodiarou"/>
        </w:rPr>
        <w:footnoteRef/>
      </w:r>
      <w:r w:rsidRPr="000F6C14">
        <w:rPr>
          <w:rStyle w:val="Odkaznapoznmkupodiarou"/>
        </w:rPr>
        <w:t>)</w:t>
      </w:r>
      <w:r>
        <w:t xml:space="preserve"> </w:t>
      </w:r>
      <w:r w:rsidRPr="00A21745">
        <w:rPr>
          <w:spacing w:val="-2"/>
        </w:rPr>
        <w:t>nezamestnané osoby sú všetky osoby vo veku od 15 do 74 rokov, ktoré spĺňajú súčasne 3 kritériá: v sledovanom (referenčnom) týždni nemali žiadnu platenú prácu, sú schopné nastúpiť do</w:t>
      </w:r>
      <w:r>
        <w:rPr>
          <w:spacing w:val="-2"/>
        </w:rPr>
        <w:t xml:space="preserve"> </w:t>
      </w:r>
      <w:r w:rsidRPr="006B6016">
        <w:t xml:space="preserve">práce </w:t>
      </w:r>
      <w:r w:rsidRPr="00A21745">
        <w:rPr>
          <w:spacing w:val="-2"/>
        </w:rPr>
        <w:t>do 2 týždňov a aktívne si hľadajú prácu (úplná definícia je uvedená vo vykonávacom nariadení Komisie (EÚ) č. 2019/2240)</w:t>
      </w:r>
    </w:p>
  </w:footnote>
  <w:footnote w:id="7">
    <w:p w14:paraId="7BE3877D" w14:textId="2B601115" w:rsidR="00B53E33" w:rsidRPr="00B17A2F" w:rsidRDefault="00B53E33" w:rsidP="00F029E2">
      <w:pPr>
        <w:pStyle w:val="Textpoznmkypodiarou"/>
        <w:widowControl/>
      </w:pPr>
      <w:r w:rsidRPr="00B17A2F">
        <w:rPr>
          <w:rStyle w:val="Odkaznapoznmkupodiarou"/>
        </w:rPr>
        <w:footnoteRef/>
      </w:r>
      <w:r w:rsidRPr="00B17A2F">
        <w:rPr>
          <w:rStyle w:val="Odkaznapoznmkupodiarou"/>
        </w:rPr>
        <w:t>)</w:t>
      </w:r>
      <w:r w:rsidRPr="00B17A2F">
        <w:t xml:space="preserve"> podľa metodiky ESA 2010; pokiaľ nie je uvedené inak, absolútne hodnoty a štruktúra sú v bež</w:t>
      </w:r>
      <w:r w:rsidRPr="00B17A2F">
        <w:softHyphen/>
        <w:t>ných cenách, údaje o medziročnom vývoji sú zo stálych cien vypočítaných reťazením objemov k re</w:t>
      </w:r>
      <w:r w:rsidRPr="00B17A2F">
        <w:softHyphen/>
        <w:t>fe</w:t>
      </w:r>
      <w:r w:rsidRPr="00B17A2F">
        <w:softHyphen/>
        <w:t>renč</w:t>
      </w:r>
      <w:r w:rsidRPr="00B17A2F">
        <w:softHyphen/>
        <w:t>nému roku 20</w:t>
      </w:r>
      <w:r w:rsidR="00123655">
        <w:t>20</w:t>
      </w:r>
    </w:p>
  </w:footnote>
  <w:footnote w:id="8">
    <w:p w14:paraId="6EE4D7A3" w14:textId="77777777" w:rsidR="00123655" w:rsidRDefault="00123655" w:rsidP="00123655">
      <w:pPr>
        <w:pStyle w:val="xxmsonormal"/>
        <w:jc w:val="both"/>
      </w:pPr>
      <w:r w:rsidRPr="00B17A2F">
        <w:rPr>
          <w:rStyle w:val="Odkaznapoznmkupodiarou"/>
          <w:rFonts w:ascii="Arial" w:hAnsi="Arial"/>
        </w:rPr>
        <w:footnoteRef/>
      </w:r>
      <w:r w:rsidRPr="00B17A2F">
        <w:rPr>
          <w:rStyle w:val="Odkaznapoznmkupodiarou"/>
          <w:rFonts w:ascii="Arial" w:hAnsi="Arial"/>
        </w:rPr>
        <w:t xml:space="preserve">) </w:t>
      </w:r>
      <w:r w:rsidRPr="00F41B2F">
        <w:rPr>
          <w:rFonts w:ascii="Arial" w:eastAsia="Times New Roman" w:hAnsi="Arial" w:cs="Arial"/>
          <w:sz w:val="16"/>
          <w:szCs w:val="16"/>
        </w:rPr>
        <w:t>údaje sú sezónne upravené programom JDemetra+ a pri spracovaní každého štvrťroka sa spresňujú v celom časovom rade</w:t>
      </w:r>
    </w:p>
    <w:p w14:paraId="5C31827F" w14:textId="77777777" w:rsidR="00123655" w:rsidRDefault="00123655" w:rsidP="00123655">
      <w:pPr>
        <w:pStyle w:val="Textpoznmkypodiarou"/>
        <w:widowControl/>
      </w:pPr>
    </w:p>
  </w:footnote>
  <w:footnote w:id="9">
    <w:p w14:paraId="3BE87A42" w14:textId="77777777" w:rsidR="00B53E33" w:rsidRPr="00561C83" w:rsidRDefault="00B53E33" w:rsidP="00367C56">
      <w:pPr>
        <w:pStyle w:val="Textpoznmkypodiarou"/>
      </w:pPr>
      <w:r>
        <w:rPr>
          <w:rStyle w:val="Odkaznapoznmkupodiarou"/>
        </w:rPr>
        <w:footnoteRef/>
      </w:r>
      <w:r w:rsidRPr="00AF343A">
        <w:rPr>
          <w:rStyle w:val="Odkaznapoznmkupodiarou"/>
        </w:rPr>
        <w:t xml:space="preserve">) </w:t>
      </w:r>
      <w:r w:rsidRPr="00561C83">
        <w:t>absolútne hodnoty, štruktúra a medziročné indexy sú v bežných cenách</w:t>
      </w:r>
    </w:p>
  </w:footnote>
  <w:footnote w:id="10">
    <w:p w14:paraId="60A70ADE" w14:textId="77777777" w:rsidR="00B53E33" w:rsidRPr="00561C83" w:rsidRDefault="00B53E33" w:rsidP="00367C56">
      <w:pPr>
        <w:pStyle w:val="Textpoznmkypodiarou"/>
      </w:pPr>
      <w:r>
        <w:rPr>
          <w:rStyle w:val="Odkaznapoznmkupodiarou"/>
        </w:rPr>
        <w:footnoteRef/>
      </w:r>
      <w:r w:rsidRPr="00AF343A">
        <w:rPr>
          <w:rStyle w:val="Odkaznapoznmkupodiarou"/>
        </w:rPr>
        <w:t xml:space="preserve">) </w:t>
      </w:r>
      <w:r w:rsidRPr="00561C83">
        <w:t>absolútne hodnoty, štruktúra a medziročné indexy sú v bežných cenách</w:t>
      </w:r>
    </w:p>
  </w:footnote>
  <w:footnote w:id="11">
    <w:p w14:paraId="0B2BE9E7" w14:textId="5E073AB6" w:rsidR="00B53E33" w:rsidRDefault="00B53E33" w:rsidP="00BA2FC4">
      <w:pPr>
        <w:pStyle w:val="Textpoznmkypodiarou"/>
      </w:pPr>
      <w:r>
        <w:rPr>
          <w:rStyle w:val="Odkaznapoznmkupodiarou"/>
        </w:rPr>
        <w:footnoteRef/>
      </w:r>
      <w:r>
        <w:rPr>
          <w:rStyle w:val="Odkaznapoznmkupodiarou"/>
        </w:rPr>
        <w:t>)</w:t>
      </w:r>
      <w:r>
        <w:t> pokiaľ nie je uvedené inak, absolútne hodnoty a štruktúra sú v bežných cenách, údaje o medziročnom vývoji sú zo stálych cien vypočítaných reťazením objemov k referenčnému roku 20</w:t>
      </w:r>
      <w:r w:rsidR="004170F5">
        <w:t>20</w:t>
      </w:r>
      <w:r>
        <w:t xml:space="preserve"> </w:t>
      </w:r>
    </w:p>
  </w:footnote>
  <w:footnote w:id="12">
    <w:p w14:paraId="50284D45" w14:textId="77777777" w:rsidR="003A663A" w:rsidRDefault="003A663A" w:rsidP="003A663A">
      <w:pPr>
        <w:pStyle w:val="Textpoznmkypodiarou"/>
      </w:pPr>
      <w:r>
        <w:rPr>
          <w:rStyle w:val="Odkaznapoznmkupodiarou"/>
        </w:rPr>
        <w:footnoteRef/>
      </w:r>
      <w:r w:rsidRPr="004B74BD">
        <w:rPr>
          <w:rStyle w:val="Odkaznapoznmkupodiarou"/>
        </w:rPr>
        <w:t>)</w:t>
      </w:r>
      <w:r>
        <w:t xml:space="preserve"> </w:t>
      </w:r>
      <w:r>
        <w:rPr>
          <w:rFonts w:cs="Arial"/>
          <w:szCs w:val="16"/>
        </w:rPr>
        <w:t>d</w:t>
      </w:r>
      <w:r w:rsidRPr="004B74BD">
        <w:rPr>
          <w:rFonts w:cs="Arial"/>
          <w:szCs w:val="16"/>
        </w:rPr>
        <w:t>okončené byty – byty, ktorým boli vydané kolaudačné rozhodnutia v sledovanom štvrťroku</w:t>
      </w:r>
    </w:p>
  </w:footnote>
  <w:footnote w:id="13">
    <w:p w14:paraId="45355088" w14:textId="77777777" w:rsidR="003A663A" w:rsidRPr="004B74BD" w:rsidRDefault="003A663A" w:rsidP="003A663A">
      <w:pPr>
        <w:pStyle w:val="Textpoznmkypodiarou"/>
        <w:rPr>
          <w:szCs w:val="16"/>
        </w:rPr>
      </w:pPr>
      <w:r w:rsidRPr="004B74BD">
        <w:rPr>
          <w:rStyle w:val="Odkaznapoznmkupodiarou"/>
          <w:szCs w:val="16"/>
        </w:rPr>
        <w:footnoteRef/>
      </w:r>
      <w:r w:rsidRPr="004B74BD">
        <w:rPr>
          <w:rStyle w:val="Odkaznapoznmkupodiarou"/>
          <w:szCs w:val="16"/>
        </w:rPr>
        <w:t>)</w:t>
      </w:r>
      <w:r>
        <w:t xml:space="preserve"> </w:t>
      </w:r>
      <w:r>
        <w:rPr>
          <w:rFonts w:cs="Arial"/>
          <w:szCs w:val="16"/>
        </w:rPr>
        <w:t>z</w:t>
      </w:r>
      <w:r w:rsidRPr="004B74BD">
        <w:rPr>
          <w:rFonts w:cs="Arial"/>
          <w:szCs w:val="16"/>
        </w:rPr>
        <w:t>ačaté byty – byty, na výstavbu ktorých boli vydané stavebné povolenia v sledovanom štvrťroku</w:t>
      </w:r>
    </w:p>
  </w:footnote>
  <w:footnote w:id="14">
    <w:p w14:paraId="3962254D" w14:textId="77777777" w:rsidR="00B53E33" w:rsidRPr="004B74BD" w:rsidRDefault="00B53E33" w:rsidP="00CE0513">
      <w:pPr>
        <w:pStyle w:val="Textpoznmkypodiarou"/>
        <w:rPr>
          <w:strike/>
          <w:szCs w:val="16"/>
        </w:rPr>
      </w:pPr>
      <w:r w:rsidRPr="004B74BD">
        <w:rPr>
          <w:rStyle w:val="Odkaznapoznmkupodiarou"/>
          <w:szCs w:val="16"/>
        </w:rPr>
        <w:footnoteRef/>
      </w:r>
      <w:r w:rsidRPr="004B74BD">
        <w:rPr>
          <w:rStyle w:val="Odkaznapoznmkupodiarou"/>
          <w:szCs w:val="16"/>
        </w:rPr>
        <w:t>)</w:t>
      </w:r>
      <w:r w:rsidRPr="004B74BD">
        <w:rPr>
          <w:szCs w:val="16"/>
        </w:rPr>
        <w:t xml:space="preserve"> zostavenie dovozu a vývozu výrobkov a služieb podľa metodiky ESA 2010</w:t>
      </w:r>
    </w:p>
  </w:footnote>
  <w:footnote w:id="15">
    <w:p w14:paraId="053DC8FA" w14:textId="77777777" w:rsidR="00B53E33" w:rsidRDefault="00B53E33" w:rsidP="00F029E2">
      <w:pPr>
        <w:pStyle w:val="Textpoznmkypodiarou"/>
      </w:pPr>
      <w:r>
        <w:rPr>
          <w:rStyle w:val="Odkaznapoznmkupodiarou"/>
        </w:rPr>
        <w:footnoteRef/>
      </w:r>
      <w:r>
        <w:rPr>
          <w:rStyle w:val="Odkaznapoznmkupodiarou"/>
        </w:rPr>
        <w:t>)</w:t>
      </w:r>
      <w:r>
        <w:t xml:space="preserve"> absolútne hodnoty, štruktúra a medziročné zmeny sú v bežných cenách</w:t>
      </w:r>
    </w:p>
  </w:footnote>
  <w:footnote w:id="16">
    <w:p w14:paraId="6B370A74" w14:textId="77777777" w:rsidR="00D37654" w:rsidRDefault="00D37654" w:rsidP="00D37654">
      <w:pPr>
        <w:pStyle w:val="Textpoznmkypodiarou"/>
      </w:pPr>
      <w:r>
        <w:rPr>
          <w:rStyle w:val="Odkaznapoznmkupodiarou"/>
        </w:rPr>
        <w:footnoteRef/>
      </w:r>
      <w:r>
        <w:rPr>
          <w:rStyle w:val="Odkaznapoznmkupodiarou"/>
        </w:rPr>
        <w:t xml:space="preserve">) </w:t>
      </w:r>
      <w:r>
        <w:t xml:space="preserve">odmeny zamestnancov (rezidentov aj nerezidentov) vyplatené rezidentskými zamestnávateľmi </w:t>
      </w:r>
    </w:p>
  </w:footnote>
  <w:footnote w:id="17">
    <w:p w14:paraId="6138D976" w14:textId="77777777" w:rsidR="00B53E33" w:rsidRDefault="00B53E33" w:rsidP="00F029E2">
      <w:pPr>
        <w:pStyle w:val="Textpoznmkypodiarou"/>
      </w:pPr>
      <w:r>
        <w:rPr>
          <w:rStyle w:val="Odkaznapoznmkupodiarou"/>
        </w:rPr>
        <w:footnoteRef/>
      </w:r>
      <w:r>
        <w:rPr>
          <w:rStyle w:val="Odkaznapoznmkupodiarou"/>
        </w:rPr>
        <w:t>)</w:t>
      </w:r>
      <w:r>
        <w:t xml:space="preserve"> absolútne hodnoty, štruktúra a medziročné zmeny sú v bežných cenách </w:t>
      </w:r>
      <w:r>
        <w:rPr>
          <w:rStyle w:val="Odkaznapoznmkupodiarou"/>
        </w:rPr>
        <w:t xml:space="preserve"> </w:t>
      </w:r>
    </w:p>
  </w:footnote>
  <w:footnote w:id="18">
    <w:p w14:paraId="5CFB63A0" w14:textId="52723B9D" w:rsidR="00B53E33" w:rsidRPr="00D256D4" w:rsidRDefault="00B53E33" w:rsidP="00A55BAC">
      <w:pPr>
        <w:pStyle w:val="Textpoznmkypodiarou"/>
        <w:ind w:left="198" w:hanging="198"/>
        <w:rPr>
          <w:strike/>
        </w:rPr>
      </w:pPr>
      <w:r>
        <w:rPr>
          <w:rStyle w:val="Odkaznapoznmkupodiarou"/>
        </w:rPr>
        <w:footnoteRef/>
      </w:r>
      <w:r>
        <w:rPr>
          <w:rStyle w:val="Odkaznapoznmkupodiarou"/>
        </w:rPr>
        <w:t>)</w:t>
      </w:r>
      <w:r>
        <w:t xml:space="preserve"> ú</w:t>
      </w:r>
      <w:r w:rsidRPr="00CD5487">
        <w:rPr>
          <w:rFonts w:cs="Arial"/>
          <w:iCs/>
          <w:szCs w:val="16"/>
        </w:rPr>
        <w:t>daje sú v bežných cenách v hodnote typu FOB</w:t>
      </w:r>
      <w:r>
        <w:rPr>
          <w:rFonts w:cs="Arial"/>
          <w:iCs/>
          <w:szCs w:val="16"/>
        </w:rPr>
        <w:t>,</w:t>
      </w:r>
      <w:r w:rsidRPr="00CD5487">
        <w:rPr>
          <w:rFonts w:cs="Arial"/>
          <w:iCs/>
          <w:szCs w:val="16"/>
        </w:rPr>
        <w:t xml:space="preserve"> </w:t>
      </w:r>
      <w:r>
        <w:rPr>
          <w:rFonts w:cs="Arial"/>
          <w:iCs/>
          <w:szCs w:val="16"/>
        </w:rPr>
        <w:t>i</w:t>
      </w:r>
      <w:r w:rsidRPr="00CD5487">
        <w:rPr>
          <w:rFonts w:cs="Arial"/>
          <w:iCs/>
          <w:szCs w:val="16"/>
        </w:rPr>
        <w:t>nformáciu vypracoval Štatistický úrad SR na základe údajov Colnej sekcie Finančného riaditeľstva SR získaných v rámci colného konania a z INTRASTAT-SK hlásení poskytnutých dovozcami a vývozcami tovaru v rámci EÚ</w:t>
      </w:r>
    </w:p>
  </w:footnote>
  <w:footnote w:id="19">
    <w:p w14:paraId="161B3CF1" w14:textId="77777777" w:rsidR="00D15474" w:rsidRDefault="00D15474" w:rsidP="00FA4916">
      <w:pPr>
        <w:pStyle w:val="Textpoznmkypodiarou"/>
        <w:ind w:left="284" w:hanging="284"/>
      </w:pPr>
      <w:r>
        <w:rPr>
          <w:rStyle w:val="Odkaznapoznmkupodiarou"/>
        </w:rPr>
        <w:footnoteRef/>
      </w:r>
      <w:r>
        <w:rPr>
          <w:rStyle w:val="Odkaznapoznmkupodiarou"/>
        </w:rPr>
        <w:t>)</w:t>
      </w:r>
      <w:r>
        <w:t xml:space="preserve"> </w:t>
      </w:r>
      <w:r w:rsidRPr="005932A7">
        <w:rPr>
          <w:rFonts w:cs="Arial"/>
          <w:color w:val="333333"/>
          <w:szCs w:val="16"/>
        </w:rPr>
        <w:t>Štatistický úrad SR v rámci skvalitnenia dát rozšíril v priebehu roka 2023 zdroje údajov o dovoze a do štatistických výstupov zahrnul aj údaje za fyzické a právnické osoby neregistrované pre DPH, ktoré si v rámci EÚ kúpili tovar na diaľku (napr. cez internet). Tieto údaje boli zapracované do štatistických výstupov od januára 2022.</w:t>
      </w:r>
    </w:p>
  </w:footnote>
  <w:footnote w:id="20">
    <w:p w14:paraId="45073827" w14:textId="3089B479" w:rsidR="00B53E33" w:rsidRDefault="00B53E33" w:rsidP="00A32365">
      <w:pPr>
        <w:pStyle w:val="Textpoznmkypodiarou"/>
      </w:pPr>
      <w:r>
        <w:rPr>
          <w:rStyle w:val="Odkaznapoznmkupodiarou"/>
        </w:rPr>
        <w:footnoteRef/>
      </w:r>
      <w:r>
        <w:rPr>
          <w:rStyle w:val="Odkaznapoznmkupodiarou"/>
        </w:rPr>
        <w:t>)</w:t>
      </w:r>
      <w:r>
        <w:rPr>
          <w:vertAlign w:val="superscript"/>
        </w:rPr>
        <w:t> </w:t>
      </w:r>
      <w:r>
        <w:t>cenové deflátory sú zo stálych cien vypočítaných reťazením objemov k </w:t>
      </w:r>
      <w:r w:rsidRPr="0060557F">
        <w:t>referenčnému roku 20</w:t>
      </w:r>
      <w:r w:rsidR="00E566E8">
        <w:t>20</w:t>
      </w:r>
      <w:r>
        <w:t xml:space="preserve"> </w:t>
      </w:r>
    </w:p>
  </w:footnote>
  <w:footnote w:id="21">
    <w:p w14:paraId="4102189E" w14:textId="77777777" w:rsidR="00B53E33" w:rsidRDefault="00B53E33" w:rsidP="000C6F1E">
      <w:pPr>
        <w:pStyle w:val="Textpoznmkypodiarou"/>
      </w:pPr>
      <w:r>
        <w:rPr>
          <w:rStyle w:val="Odkaznapoznmkupodiarou"/>
        </w:rPr>
        <w:footnoteRef/>
      </w:r>
      <w:r>
        <w:rPr>
          <w:rStyle w:val="Odkaznapoznmkupodiarou"/>
        </w:rPr>
        <w:t>)</w:t>
      </w:r>
      <w:r>
        <w:t xml:space="preserve"> metodika VZPS je v súlade s medzinárodnými definíciami a odporúčaniami ILO a Eurostatu </w:t>
      </w:r>
    </w:p>
  </w:footnote>
  <w:footnote w:id="22">
    <w:p w14:paraId="732D6071" w14:textId="77777777" w:rsidR="0068595F" w:rsidRPr="0003379E" w:rsidRDefault="0068595F" w:rsidP="0068595F">
      <w:pPr>
        <w:pStyle w:val="Textpoznmkypodiarou"/>
      </w:pPr>
      <w:r>
        <w:rPr>
          <w:rStyle w:val="Odkaznapoznmkupodiarou"/>
        </w:rPr>
        <w:footnoteRef/>
      </w:r>
      <w:r>
        <w:rPr>
          <w:rStyle w:val="Odkaznapoznmkupodiarou"/>
        </w:rPr>
        <w:t>)</w:t>
      </w:r>
      <w:r>
        <w:t xml:space="preserve"> </w:t>
      </w:r>
      <w:r w:rsidRPr="0003379E">
        <w:t>pracujúci v zmysle novej metodiky VZPS platnej v EÚ od roku 2021 (IESS) sú všetky osoby vo veku od 15 do 89 rokov, ktoré v sledovanom (referenčnom) týždni vykonávajú aspoň 1 hodinu prácu za mzdu, plat, odmenu alebo pracovnú činnosť za účelom dosiahnutia zisku, vrátane osôb vykonávajúcich prácu na základe dohôd, sezónnych pracovníkov, osôb na materskej alebo rodičovskej dovolenke, osôb pracujúc</w:t>
      </w:r>
      <w:r>
        <w:t>ich v zahraničí menej ako 1 rok a</w:t>
      </w:r>
      <w:r w:rsidRPr="0003379E">
        <w:t xml:space="preserve"> osôb dochádzajúcich za prácou do zahraničia; respondenti sú zahrnutí do odvetví podľa ekonomickej činnosti miestn</w:t>
      </w:r>
      <w:r>
        <w:t>ej jednotky nie celého podniku</w:t>
      </w:r>
    </w:p>
  </w:footnote>
  <w:footnote w:id="23">
    <w:p w14:paraId="152EFF10" w14:textId="77777777" w:rsidR="0068595F" w:rsidRDefault="0068595F" w:rsidP="0068595F">
      <w:pPr>
        <w:pStyle w:val="Textpoznmkypodiarou"/>
      </w:pPr>
      <w:r>
        <w:rPr>
          <w:rStyle w:val="Odkaznapoznmkupodiarou"/>
        </w:rPr>
        <w:footnoteRef/>
      </w:r>
      <w:r w:rsidRPr="004E0CD3">
        <w:rPr>
          <w:rStyle w:val="Odkaznapoznmkupodiarou"/>
        </w:rPr>
        <w:t>)</w:t>
      </w:r>
      <w:r>
        <w:t xml:space="preserve"> migrácia za prácou do zahraničia do 1 roku vrátane časovo neobmedzenej dochádzky za prácou cez hranice </w:t>
      </w:r>
      <w:r w:rsidRPr="002B73A7">
        <w:t>v zmysle novej metodiky VZPS platnej v EÚ od roku 2021 (IESS)</w:t>
      </w:r>
    </w:p>
  </w:footnote>
  <w:footnote w:id="24">
    <w:p w14:paraId="3ED46641" w14:textId="77777777" w:rsidR="00B53E33" w:rsidRPr="008F4C2F" w:rsidRDefault="00B53E33" w:rsidP="00F9255D">
      <w:pPr>
        <w:pStyle w:val="Textpoznmkypodiarou"/>
      </w:pPr>
      <w:r>
        <w:rPr>
          <w:rStyle w:val="Odkaznapoznmkupodiarou"/>
        </w:rPr>
        <w:footnoteRef/>
      </w:r>
      <w:r w:rsidRPr="000F6C14">
        <w:rPr>
          <w:rStyle w:val="Odkaznapoznmkupodiarou"/>
        </w:rPr>
        <w:t>)</w:t>
      </w:r>
      <w:r>
        <w:t xml:space="preserve"> </w:t>
      </w:r>
      <w:r w:rsidRPr="008F4C2F">
        <w:t>nezamestnané osoby sú všetky osoby vo veku od 15 do 74 rokov, ktoré spĺňajú súčasne 3 kritériá: v sledovanom (referenčnom) týždni nemali žiadnu platenú prácu, sú schopné nastúpiť do práce</w:t>
      </w:r>
      <w:r>
        <w:t xml:space="preserve"> </w:t>
      </w:r>
      <w:r w:rsidRPr="008F4C2F">
        <w:t>do 2 týždňov a aktívne si hľadajú prácu (úplná definícia je uvedená vo vykonávacom nariadení Komisie (EÚ) č. 2019/2240</w:t>
      </w:r>
      <w:r>
        <w:t>)</w:t>
      </w:r>
    </w:p>
  </w:footnote>
  <w:footnote w:id="25">
    <w:p w14:paraId="00D9A79E" w14:textId="48DDA787" w:rsidR="00B53E33" w:rsidRPr="00485935" w:rsidRDefault="00B53E33" w:rsidP="000C6F1E">
      <w:pPr>
        <w:rPr>
          <w:rFonts w:ascii="Arial" w:hAnsi="Arial" w:cs="Arial"/>
          <w:sz w:val="16"/>
          <w:szCs w:val="16"/>
        </w:rPr>
      </w:pPr>
      <w:r w:rsidRPr="009123C4">
        <w:rPr>
          <w:rStyle w:val="Odkaznapoznmkupodiarou"/>
          <w:rFonts w:ascii="Arial" w:hAnsi="Arial" w:cs="Arial"/>
          <w:szCs w:val="16"/>
        </w:rPr>
        <w:footnoteRef/>
      </w:r>
      <w:r w:rsidRPr="009123C4">
        <w:rPr>
          <w:rStyle w:val="Odkaznapoznmkupodiarou"/>
          <w:rFonts w:ascii="Arial" w:hAnsi="Arial" w:cs="Arial"/>
          <w:szCs w:val="16"/>
        </w:rPr>
        <w:t>)</w:t>
      </w:r>
      <w:r>
        <w:rPr>
          <w:rFonts w:ascii="Arial" w:hAnsi="Arial" w:cs="Arial"/>
        </w:rPr>
        <w:t xml:space="preserve"> </w:t>
      </w:r>
      <w:r w:rsidRPr="00485935">
        <w:rPr>
          <w:rFonts w:ascii="Arial" w:hAnsi="Arial" w:cs="Arial"/>
          <w:sz w:val="16"/>
          <w:szCs w:val="16"/>
        </w:rPr>
        <w:t>údaje sú spracované zo štvrťročného štatistického výkazníctva; bez podnikateľských príjmov, vrátane štatistického odhadu mzdy zamestnancov u živnostníkov</w:t>
      </w:r>
    </w:p>
    <w:p w14:paraId="39000090" w14:textId="77777777" w:rsidR="00B53E33" w:rsidRDefault="00B53E33" w:rsidP="000C6F1E">
      <w:pPr>
        <w:pStyle w:val="Textpoznmkypodiarou"/>
        <w:widowControl/>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504AF"/>
    <w:multiLevelType w:val="hybridMultilevel"/>
    <w:tmpl w:val="B5423F3E"/>
    <w:lvl w:ilvl="0" w:tplc="041B0001">
      <w:start w:val="1"/>
      <w:numFmt w:val="bullet"/>
      <w:lvlText w:val=""/>
      <w:lvlJc w:val="left"/>
      <w:pPr>
        <w:ind w:left="805" w:hanging="360"/>
      </w:pPr>
      <w:rPr>
        <w:rFonts w:ascii="Symbol" w:hAnsi="Symbol" w:hint="default"/>
      </w:rPr>
    </w:lvl>
    <w:lvl w:ilvl="1" w:tplc="041B0003" w:tentative="1">
      <w:start w:val="1"/>
      <w:numFmt w:val="bullet"/>
      <w:lvlText w:val="o"/>
      <w:lvlJc w:val="left"/>
      <w:pPr>
        <w:ind w:left="1525" w:hanging="360"/>
      </w:pPr>
      <w:rPr>
        <w:rFonts w:ascii="Courier New" w:hAnsi="Courier New" w:cs="Courier New" w:hint="default"/>
      </w:rPr>
    </w:lvl>
    <w:lvl w:ilvl="2" w:tplc="041B0005" w:tentative="1">
      <w:start w:val="1"/>
      <w:numFmt w:val="bullet"/>
      <w:lvlText w:val=""/>
      <w:lvlJc w:val="left"/>
      <w:pPr>
        <w:ind w:left="2245" w:hanging="360"/>
      </w:pPr>
      <w:rPr>
        <w:rFonts w:ascii="Wingdings" w:hAnsi="Wingdings" w:hint="default"/>
      </w:rPr>
    </w:lvl>
    <w:lvl w:ilvl="3" w:tplc="041B0001" w:tentative="1">
      <w:start w:val="1"/>
      <w:numFmt w:val="bullet"/>
      <w:lvlText w:val=""/>
      <w:lvlJc w:val="left"/>
      <w:pPr>
        <w:ind w:left="2965" w:hanging="360"/>
      </w:pPr>
      <w:rPr>
        <w:rFonts w:ascii="Symbol" w:hAnsi="Symbol" w:hint="default"/>
      </w:rPr>
    </w:lvl>
    <w:lvl w:ilvl="4" w:tplc="041B0003" w:tentative="1">
      <w:start w:val="1"/>
      <w:numFmt w:val="bullet"/>
      <w:lvlText w:val="o"/>
      <w:lvlJc w:val="left"/>
      <w:pPr>
        <w:ind w:left="3685" w:hanging="360"/>
      </w:pPr>
      <w:rPr>
        <w:rFonts w:ascii="Courier New" w:hAnsi="Courier New" w:cs="Courier New" w:hint="default"/>
      </w:rPr>
    </w:lvl>
    <w:lvl w:ilvl="5" w:tplc="041B0005" w:tentative="1">
      <w:start w:val="1"/>
      <w:numFmt w:val="bullet"/>
      <w:lvlText w:val=""/>
      <w:lvlJc w:val="left"/>
      <w:pPr>
        <w:ind w:left="4405" w:hanging="360"/>
      </w:pPr>
      <w:rPr>
        <w:rFonts w:ascii="Wingdings" w:hAnsi="Wingdings" w:hint="default"/>
      </w:rPr>
    </w:lvl>
    <w:lvl w:ilvl="6" w:tplc="041B0001" w:tentative="1">
      <w:start w:val="1"/>
      <w:numFmt w:val="bullet"/>
      <w:lvlText w:val=""/>
      <w:lvlJc w:val="left"/>
      <w:pPr>
        <w:ind w:left="5125" w:hanging="360"/>
      </w:pPr>
      <w:rPr>
        <w:rFonts w:ascii="Symbol" w:hAnsi="Symbol" w:hint="default"/>
      </w:rPr>
    </w:lvl>
    <w:lvl w:ilvl="7" w:tplc="041B0003" w:tentative="1">
      <w:start w:val="1"/>
      <w:numFmt w:val="bullet"/>
      <w:lvlText w:val="o"/>
      <w:lvlJc w:val="left"/>
      <w:pPr>
        <w:ind w:left="5845" w:hanging="360"/>
      </w:pPr>
      <w:rPr>
        <w:rFonts w:ascii="Courier New" w:hAnsi="Courier New" w:cs="Courier New" w:hint="default"/>
      </w:rPr>
    </w:lvl>
    <w:lvl w:ilvl="8" w:tplc="041B0005" w:tentative="1">
      <w:start w:val="1"/>
      <w:numFmt w:val="bullet"/>
      <w:lvlText w:val=""/>
      <w:lvlJc w:val="left"/>
      <w:pPr>
        <w:ind w:left="6565" w:hanging="360"/>
      </w:pPr>
      <w:rPr>
        <w:rFonts w:ascii="Wingdings" w:hAnsi="Wingdings" w:hint="default"/>
      </w:rPr>
    </w:lvl>
  </w:abstractNum>
  <w:abstractNum w:abstractNumId="1" w15:restartNumberingAfterBreak="0">
    <w:nsid w:val="56DA4491"/>
    <w:multiLevelType w:val="hybridMultilevel"/>
    <w:tmpl w:val="58F04006"/>
    <w:lvl w:ilvl="0" w:tplc="F134036A">
      <w:start w:val="1"/>
      <w:numFmt w:val="decimal"/>
      <w:lvlText w:val="%1."/>
      <w:lvlJc w:val="left"/>
      <w:pPr>
        <w:ind w:left="720" w:hanging="360"/>
      </w:pPr>
      <w:rPr>
        <w:rFonts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D0B2A73"/>
    <w:multiLevelType w:val="hybridMultilevel"/>
    <w:tmpl w:val="FCE80B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676C6372"/>
    <w:multiLevelType w:val="hybridMultilevel"/>
    <w:tmpl w:val="18969DB4"/>
    <w:lvl w:ilvl="0" w:tplc="E6003FE2">
      <w:start w:val="1"/>
      <w:numFmt w:val="decimal"/>
      <w:lvlText w:val="%1."/>
      <w:lvlJc w:val="left"/>
      <w:pPr>
        <w:ind w:left="1080" w:hanging="360"/>
      </w:pPr>
      <w:rPr>
        <w:rFonts w:cs="Times New Roman" w:hint="default"/>
        <w:b/>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118178640">
    <w:abstractNumId w:val="1"/>
  </w:num>
  <w:num w:numId="2" w16cid:durableId="1257791683">
    <w:abstractNumId w:val="3"/>
  </w:num>
  <w:num w:numId="3" w16cid:durableId="1255356598">
    <w:abstractNumId w:val="0"/>
  </w:num>
  <w:num w:numId="4" w16cid:durableId="989138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113"/>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QwMDExMjQzNTMyMTBV0lEKTi0uzszPAykwrAUA8hjH/SwAAAA="/>
  </w:docVars>
  <w:rsids>
    <w:rsidRoot w:val="00626EC3"/>
    <w:rsid w:val="00000626"/>
    <w:rsid w:val="000007E9"/>
    <w:rsid w:val="00000B44"/>
    <w:rsid w:val="00000B6B"/>
    <w:rsid w:val="00000BB8"/>
    <w:rsid w:val="00000CC5"/>
    <w:rsid w:val="00000E8E"/>
    <w:rsid w:val="00000F69"/>
    <w:rsid w:val="0000119C"/>
    <w:rsid w:val="000011AB"/>
    <w:rsid w:val="00001542"/>
    <w:rsid w:val="000018F5"/>
    <w:rsid w:val="00001F6B"/>
    <w:rsid w:val="0000248F"/>
    <w:rsid w:val="00002551"/>
    <w:rsid w:val="00002855"/>
    <w:rsid w:val="00002B38"/>
    <w:rsid w:val="00002E58"/>
    <w:rsid w:val="000035C4"/>
    <w:rsid w:val="00003892"/>
    <w:rsid w:val="000039AD"/>
    <w:rsid w:val="00003BF2"/>
    <w:rsid w:val="00003D85"/>
    <w:rsid w:val="00003E7E"/>
    <w:rsid w:val="00003F20"/>
    <w:rsid w:val="000040B6"/>
    <w:rsid w:val="00004129"/>
    <w:rsid w:val="00004180"/>
    <w:rsid w:val="00004506"/>
    <w:rsid w:val="00004C2E"/>
    <w:rsid w:val="00004E8D"/>
    <w:rsid w:val="00005370"/>
    <w:rsid w:val="00005512"/>
    <w:rsid w:val="000055E6"/>
    <w:rsid w:val="000059CF"/>
    <w:rsid w:val="000063AD"/>
    <w:rsid w:val="00006AA2"/>
    <w:rsid w:val="00006B2F"/>
    <w:rsid w:val="00007588"/>
    <w:rsid w:val="000077DC"/>
    <w:rsid w:val="0000798D"/>
    <w:rsid w:val="00007B28"/>
    <w:rsid w:val="00007B4E"/>
    <w:rsid w:val="0001023A"/>
    <w:rsid w:val="00010709"/>
    <w:rsid w:val="00011015"/>
    <w:rsid w:val="0001121D"/>
    <w:rsid w:val="000116CC"/>
    <w:rsid w:val="00011777"/>
    <w:rsid w:val="0001180D"/>
    <w:rsid w:val="000118C4"/>
    <w:rsid w:val="000119B5"/>
    <w:rsid w:val="00012047"/>
    <w:rsid w:val="00012237"/>
    <w:rsid w:val="00012356"/>
    <w:rsid w:val="0001242B"/>
    <w:rsid w:val="000125AE"/>
    <w:rsid w:val="000125B0"/>
    <w:rsid w:val="0001292F"/>
    <w:rsid w:val="00013276"/>
    <w:rsid w:val="00013610"/>
    <w:rsid w:val="00013671"/>
    <w:rsid w:val="000137D5"/>
    <w:rsid w:val="00013892"/>
    <w:rsid w:val="000138DA"/>
    <w:rsid w:val="00013989"/>
    <w:rsid w:val="00013C9D"/>
    <w:rsid w:val="00013E28"/>
    <w:rsid w:val="00013ECB"/>
    <w:rsid w:val="0001431A"/>
    <w:rsid w:val="0001447B"/>
    <w:rsid w:val="0001450E"/>
    <w:rsid w:val="0001468F"/>
    <w:rsid w:val="0001472F"/>
    <w:rsid w:val="0001485B"/>
    <w:rsid w:val="00014C94"/>
    <w:rsid w:val="00014E2B"/>
    <w:rsid w:val="00015144"/>
    <w:rsid w:val="0001517E"/>
    <w:rsid w:val="0001527B"/>
    <w:rsid w:val="0001555A"/>
    <w:rsid w:val="000157B5"/>
    <w:rsid w:val="0001587E"/>
    <w:rsid w:val="00015A97"/>
    <w:rsid w:val="00015BE8"/>
    <w:rsid w:val="00015C83"/>
    <w:rsid w:val="00015D31"/>
    <w:rsid w:val="00015E22"/>
    <w:rsid w:val="00015E28"/>
    <w:rsid w:val="00015FFD"/>
    <w:rsid w:val="00016170"/>
    <w:rsid w:val="0001640F"/>
    <w:rsid w:val="00016669"/>
    <w:rsid w:val="000166E1"/>
    <w:rsid w:val="00016735"/>
    <w:rsid w:val="00016DFD"/>
    <w:rsid w:val="00016E03"/>
    <w:rsid w:val="00017B6E"/>
    <w:rsid w:val="00017DC5"/>
    <w:rsid w:val="00017F19"/>
    <w:rsid w:val="00017F46"/>
    <w:rsid w:val="00017F66"/>
    <w:rsid w:val="00017FEA"/>
    <w:rsid w:val="0002021D"/>
    <w:rsid w:val="00020348"/>
    <w:rsid w:val="00020499"/>
    <w:rsid w:val="00020733"/>
    <w:rsid w:val="00020750"/>
    <w:rsid w:val="0002079C"/>
    <w:rsid w:val="00020B27"/>
    <w:rsid w:val="00020CB6"/>
    <w:rsid w:val="00020D94"/>
    <w:rsid w:val="00020DBE"/>
    <w:rsid w:val="00020E0C"/>
    <w:rsid w:val="00021065"/>
    <w:rsid w:val="000216D3"/>
    <w:rsid w:val="000217AE"/>
    <w:rsid w:val="00021DA0"/>
    <w:rsid w:val="00021DFD"/>
    <w:rsid w:val="00021F49"/>
    <w:rsid w:val="00022032"/>
    <w:rsid w:val="00022174"/>
    <w:rsid w:val="000222FC"/>
    <w:rsid w:val="0002245D"/>
    <w:rsid w:val="00022529"/>
    <w:rsid w:val="00022A45"/>
    <w:rsid w:val="00023BD1"/>
    <w:rsid w:val="00023F0E"/>
    <w:rsid w:val="00024097"/>
    <w:rsid w:val="0002421C"/>
    <w:rsid w:val="000243DE"/>
    <w:rsid w:val="00024640"/>
    <w:rsid w:val="0002466E"/>
    <w:rsid w:val="0002494D"/>
    <w:rsid w:val="00024D10"/>
    <w:rsid w:val="00024F31"/>
    <w:rsid w:val="00025136"/>
    <w:rsid w:val="00025339"/>
    <w:rsid w:val="000253D3"/>
    <w:rsid w:val="000259FD"/>
    <w:rsid w:val="00025B96"/>
    <w:rsid w:val="00025BE6"/>
    <w:rsid w:val="00025C77"/>
    <w:rsid w:val="00025C8E"/>
    <w:rsid w:val="00025EE6"/>
    <w:rsid w:val="000260FE"/>
    <w:rsid w:val="0002673F"/>
    <w:rsid w:val="00026A55"/>
    <w:rsid w:val="00026A80"/>
    <w:rsid w:val="00026C48"/>
    <w:rsid w:val="00026FB9"/>
    <w:rsid w:val="0002724D"/>
    <w:rsid w:val="00027685"/>
    <w:rsid w:val="00027942"/>
    <w:rsid w:val="00027A95"/>
    <w:rsid w:val="00027B65"/>
    <w:rsid w:val="00027C40"/>
    <w:rsid w:val="00027CE5"/>
    <w:rsid w:val="00027EB8"/>
    <w:rsid w:val="00027F82"/>
    <w:rsid w:val="000303EF"/>
    <w:rsid w:val="0003043D"/>
    <w:rsid w:val="000307FB"/>
    <w:rsid w:val="00030ABB"/>
    <w:rsid w:val="00031068"/>
    <w:rsid w:val="00031085"/>
    <w:rsid w:val="0003188B"/>
    <w:rsid w:val="00031E88"/>
    <w:rsid w:val="0003235B"/>
    <w:rsid w:val="00032371"/>
    <w:rsid w:val="0003274C"/>
    <w:rsid w:val="00032768"/>
    <w:rsid w:val="00032B45"/>
    <w:rsid w:val="00032DCB"/>
    <w:rsid w:val="00032EB7"/>
    <w:rsid w:val="00032F8D"/>
    <w:rsid w:val="00033085"/>
    <w:rsid w:val="000331C7"/>
    <w:rsid w:val="00033216"/>
    <w:rsid w:val="00033313"/>
    <w:rsid w:val="000333ED"/>
    <w:rsid w:val="000334A3"/>
    <w:rsid w:val="000334F9"/>
    <w:rsid w:val="000335CD"/>
    <w:rsid w:val="0003379E"/>
    <w:rsid w:val="000338A3"/>
    <w:rsid w:val="0003398E"/>
    <w:rsid w:val="00033ADB"/>
    <w:rsid w:val="00033BDA"/>
    <w:rsid w:val="00033EED"/>
    <w:rsid w:val="00033F83"/>
    <w:rsid w:val="00034554"/>
    <w:rsid w:val="000347F6"/>
    <w:rsid w:val="00034EB4"/>
    <w:rsid w:val="00035013"/>
    <w:rsid w:val="00035120"/>
    <w:rsid w:val="000351B8"/>
    <w:rsid w:val="0003531C"/>
    <w:rsid w:val="0003555F"/>
    <w:rsid w:val="0003587A"/>
    <w:rsid w:val="00035B22"/>
    <w:rsid w:val="00036060"/>
    <w:rsid w:val="000361D3"/>
    <w:rsid w:val="000361D7"/>
    <w:rsid w:val="000361E1"/>
    <w:rsid w:val="000364F4"/>
    <w:rsid w:val="00036B41"/>
    <w:rsid w:val="00036D82"/>
    <w:rsid w:val="00036E95"/>
    <w:rsid w:val="00036F32"/>
    <w:rsid w:val="0003721B"/>
    <w:rsid w:val="0003763B"/>
    <w:rsid w:val="000376B1"/>
    <w:rsid w:val="000377E8"/>
    <w:rsid w:val="0003782E"/>
    <w:rsid w:val="00037A04"/>
    <w:rsid w:val="00037BEB"/>
    <w:rsid w:val="00037E77"/>
    <w:rsid w:val="00040520"/>
    <w:rsid w:val="0004073E"/>
    <w:rsid w:val="00040813"/>
    <w:rsid w:val="00040B16"/>
    <w:rsid w:val="00040BE5"/>
    <w:rsid w:val="00040DC7"/>
    <w:rsid w:val="00040FE9"/>
    <w:rsid w:val="000411FD"/>
    <w:rsid w:val="00041315"/>
    <w:rsid w:val="00041576"/>
    <w:rsid w:val="000416D9"/>
    <w:rsid w:val="0004193A"/>
    <w:rsid w:val="00041946"/>
    <w:rsid w:val="00041B94"/>
    <w:rsid w:val="00041B98"/>
    <w:rsid w:val="00041BD9"/>
    <w:rsid w:val="000423C0"/>
    <w:rsid w:val="00042975"/>
    <w:rsid w:val="000429B5"/>
    <w:rsid w:val="00042A9C"/>
    <w:rsid w:val="00042BA8"/>
    <w:rsid w:val="00042BF1"/>
    <w:rsid w:val="00042E89"/>
    <w:rsid w:val="00042E9F"/>
    <w:rsid w:val="0004301F"/>
    <w:rsid w:val="0004341F"/>
    <w:rsid w:val="00043AFB"/>
    <w:rsid w:val="00043BDF"/>
    <w:rsid w:val="00043BEF"/>
    <w:rsid w:val="00043DAF"/>
    <w:rsid w:val="00043DCE"/>
    <w:rsid w:val="00044512"/>
    <w:rsid w:val="000445EA"/>
    <w:rsid w:val="00044A0F"/>
    <w:rsid w:val="00044B1C"/>
    <w:rsid w:val="00044DD7"/>
    <w:rsid w:val="00044F4F"/>
    <w:rsid w:val="0004598B"/>
    <w:rsid w:val="00045A0F"/>
    <w:rsid w:val="00045D11"/>
    <w:rsid w:val="00045DC9"/>
    <w:rsid w:val="00045ED8"/>
    <w:rsid w:val="00045F85"/>
    <w:rsid w:val="0004681D"/>
    <w:rsid w:val="00046954"/>
    <w:rsid w:val="00046987"/>
    <w:rsid w:val="00046D5E"/>
    <w:rsid w:val="00046EFB"/>
    <w:rsid w:val="0004700D"/>
    <w:rsid w:val="00047172"/>
    <w:rsid w:val="00047356"/>
    <w:rsid w:val="00047376"/>
    <w:rsid w:val="000476AF"/>
    <w:rsid w:val="00047910"/>
    <w:rsid w:val="0004791C"/>
    <w:rsid w:val="00047E33"/>
    <w:rsid w:val="00047FD7"/>
    <w:rsid w:val="0005010A"/>
    <w:rsid w:val="000501CA"/>
    <w:rsid w:val="00050249"/>
    <w:rsid w:val="00050787"/>
    <w:rsid w:val="00050972"/>
    <w:rsid w:val="00050B23"/>
    <w:rsid w:val="00050E48"/>
    <w:rsid w:val="00050E68"/>
    <w:rsid w:val="00050FED"/>
    <w:rsid w:val="00051126"/>
    <w:rsid w:val="000511F2"/>
    <w:rsid w:val="0005130E"/>
    <w:rsid w:val="0005187A"/>
    <w:rsid w:val="000518C4"/>
    <w:rsid w:val="00051F63"/>
    <w:rsid w:val="00052068"/>
    <w:rsid w:val="0005207E"/>
    <w:rsid w:val="00052171"/>
    <w:rsid w:val="000522EC"/>
    <w:rsid w:val="0005236D"/>
    <w:rsid w:val="0005241C"/>
    <w:rsid w:val="00052444"/>
    <w:rsid w:val="000524E1"/>
    <w:rsid w:val="0005274E"/>
    <w:rsid w:val="00052772"/>
    <w:rsid w:val="00052BCF"/>
    <w:rsid w:val="00052E71"/>
    <w:rsid w:val="00052FAC"/>
    <w:rsid w:val="00053413"/>
    <w:rsid w:val="0005359C"/>
    <w:rsid w:val="000535CF"/>
    <w:rsid w:val="00053EBD"/>
    <w:rsid w:val="00054485"/>
    <w:rsid w:val="00054733"/>
    <w:rsid w:val="000547E7"/>
    <w:rsid w:val="000549BD"/>
    <w:rsid w:val="00054C5B"/>
    <w:rsid w:val="00055004"/>
    <w:rsid w:val="000554D9"/>
    <w:rsid w:val="00055BD4"/>
    <w:rsid w:val="00055CEC"/>
    <w:rsid w:val="00055D46"/>
    <w:rsid w:val="00056762"/>
    <w:rsid w:val="00056789"/>
    <w:rsid w:val="000568B7"/>
    <w:rsid w:val="00056CED"/>
    <w:rsid w:val="00056FA8"/>
    <w:rsid w:val="00057213"/>
    <w:rsid w:val="000573FD"/>
    <w:rsid w:val="00057622"/>
    <w:rsid w:val="00057860"/>
    <w:rsid w:val="00057A65"/>
    <w:rsid w:val="00057AF2"/>
    <w:rsid w:val="00057B11"/>
    <w:rsid w:val="00057CF3"/>
    <w:rsid w:val="00057FBF"/>
    <w:rsid w:val="00060002"/>
    <w:rsid w:val="00060431"/>
    <w:rsid w:val="000607AF"/>
    <w:rsid w:val="000608D2"/>
    <w:rsid w:val="00060935"/>
    <w:rsid w:val="00060B7F"/>
    <w:rsid w:val="00060DD5"/>
    <w:rsid w:val="00060FD6"/>
    <w:rsid w:val="00060FF9"/>
    <w:rsid w:val="0006108D"/>
    <w:rsid w:val="0006117F"/>
    <w:rsid w:val="00061A3B"/>
    <w:rsid w:val="000621DD"/>
    <w:rsid w:val="000622EF"/>
    <w:rsid w:val="00062628"/>
    <w:rsid w:val="00062D96"/>
    <w:rsid w:val="00062F6A"/>
    <w:rsid w:val="00063016"/>
    <w:rsid w:val="000630E3"/>
    <w:rsid w:val="0006333E"/>
    <w:rsid w:val="00063625"/>
    <w:rsid w:val="000637E6"/>
    <w:rsid w:val="00063E4A"/>
    <w:rsid w:val="00064746"/>
    <w:rsid w:val="00064A4A"/>
    <w:rsid w:val="00064E34"/>
    <w:rsid w:val="00064EA2"/>
    <w:rsid w:val="00065404"/>
    <w:rsid w:val="000654E7"/>
    <w:rsid w:val="0006564C"/>
    <w:rsid w:val="000656AC"/>
    <w:rsid w:val="00065725"/>
    <w:rsid w:val="000659A9"/>
    <w:rsid w:val="00065AAF"/>
    <w:rsid w:val="00066067"/>
    <w:rsid w:val="00066791"/>
    <w:rsid w:val="000668C0"/>
    <w:rsid w:val="00066CA0"/>
    <w:rsid w:val="00066E4C"/>
    <w:rsid w:val="00066E66"/>
    <w:rsid w:val="00066EFD"/>
    <w:rsid w:val="00066FF8"/>
    <w:rsid w:val="00067482"/>
    <w:rsid w:val="00067730"/>
    <w:rsid w:val="00067C27"/>
    <w:rsid w:val="00070318"/>
    <w:rsid w:val="0007049C"/>
    <w:rsid w:val="000704AA"/>
    <w:rsid w:val="0007052D"/>
    <w:rsid w:val="00070C70"/>
    <w:rsid w:val="00071982"/>
    <w:rsid w:val="00072068"/>
    <w:rsid w:val="00072569"/>
    <w:rsid w:val="000726DB"/>
    <w:rsid w:val="00072752"/>
    <w:rsid w:val="00072768"/>
    <w:rsid w:val="00072B6A"/>
    <w:rsid w:val="00072C34"/>
    <w:rsid w:val="00072FFD"/>
    <w:rsid w:val="0007316E"/>
    <w:rsid w:val="000734E8"/>
    <w:rsid w:val="000734FC"/>
    <w:rsid w:val="0007357C"/>
    <w:rsid w:val="000737A0"/>
    <w:rsid w:val="00073B5C"/>
    <w:rsid w:val="00073DDB"/>
    <w:rsid w:val="00074490"/>
    <w:rsid w:val="000744F7"/>
    <w:rsid w:val="000745E0"/>
    <w:rsid w:val="00074931"/>
    <w:rsid w:val="000749B3"/>
    <w:rsid w:val="00074BBA"/>
    <w:rsid w:val="00074FB5"/>
    <w:rsid w:val="0007525A"/>
    <w:rsid w:val="000755A3"/>
    <w:rsid w:val="0007576C"/>
    <w:rsid w:val="0007586E"/>
    <w:rsid w:val="00075D10"/>
    <w:rsid w:val="00075FBC"/>
    <w:rsid w:val="00076253"/>
    <w:rsid w:val="000764CA"/>
    <w:rsid w:val="000769E6"/>
    <w:rsid w:val="00076F5B"/>
    <w:rsid w:val="00076FD1"/>
    <w:rsid w:val="0007701D"/>
    <w:rsid w:val="0007728F"/>
    <w:rsid w:val="0007729A"/>
    <w:rsid w:val="00077345"/>
    <w:rsid w:val="00077362"/>
    <w:rsid w:val="000773DD"/>
    <w:rsid w:val="000776F8"/>
    <w:rsid w:val="0007770F"/>
    <w:rsid w:val="0007773A"/>
    <w:rsid w:val="0007776C"/>
    <w:rsid w:val="00077804"/>
    <w:rsid w:val="0008007C"/>
    <w:rsid w:val="00080283"/>
    <w:rsid w:val="00080468"/>
    <w:rsid w:val="0008067D"/>
    <w:rsid w:val="0008068D"/>
    <w:rsid w:val="00080CD6"/>
    <w:rsid w:val="00080F74"/>
    <w:rsid w:val="00080F7E"/>
    <w:rsid w:val="000810AA"/>
    <w:rsid w:val="00081172"/>
    <w:rsid w:val="00081258"/>
    <w:rsid w:val="0008146F"/>
    <w:rsid w:val="000824FE"/>
    <w:rsid w:val="000825B4"/>
    <w:rsid w:val="000825CD"/>
    <w:rsid w:val="000825D2"/>
    <w:rsid w:val="00082706"/>
    <w:rsid w:val="000828D2"/>
    <w:rsid w:val="00082B0D"/>
    <w:rsid w:val="00082EA2"/>
    <w:rsid w:val="00082FC1"/>
    <w:rsid w:val="000834BF"/>
    <w:rsid w:val="000835B0"/>
    <w:rsid w:val="000835FE"/>
    <w:rsid w:val="00083688"/>
    <w:rsid w:val="00083C72"/>
    <w:rsid w:val="00083D0C"/>
    <w:rsid w:val="00083D87"/>
    <w:rsid w:val="00084653"/>
    <w:rsid w:val="0008481F"/>
    <w:rsid w:val="00084CAE"/>
    <w:rsid w:val="0008588E"/>
    <w:rsid w:val="00085971"/>
    <w:rsid w:val="00085B75"/>
    <w:rsid w:val="00085F35"/>
    <w:rsid w:val="00086303"/>
    <w:rsid w:val="00086469"/>
    <w:rsid w:val="000864BD"/>
    <w:rsid w:val="0008669F"/>
    <w:rsid w:val="0008685E"/>
    <w:rsid w:val="00086E82"/>
    <w:rsid w:val="00086EC7"/>
    <w:rsid w:val="00087128"/>
    <w:rsid w:val="000871B3"/>
    <w:rsid w:val="000871B9"/>
    <w:rsid w:val="00087397"/>
    <w:rsid w:val="00087BA8"/>
    <w:rsid w:val="00090046"/>
    <w:rsid w:val="000900D1"/>
    <w:rsid w:val="000904B7"/>
    <w:rsid w:val="00090D26"/>
    <w:rsid w:val="00091690"/>
    <w:rsid w:val="0009191D"/>
    <w:rsid w:val="00092197"/>
    <w:rsid w:val="00092634"/>
    <w:rsid w:val="000926A7"/>
    <w:rsid w:val="000929E6"/>
    <w:rsid w:val="00092DA2"/>
    <w:rsid w:val="00092DE5"/>
    <w:rsid w:val="000936D3"/>
    <w:rsid w:val="00093B18"/>
    <w:rsid w:val="000941CA"/>
    <w:rsid w:val="00094328"/>
    <w:rsid w:val="000944D7"/>
    <w:rsid w:val="000948E3"/>
    <w:rsid w:val="0009496C"/>
    <w:rsid w:val="00095192"/>
    <w:rsid w:val="0009541A"/>
    <w:rsid w:val="000954E7"/>
    <w:rsid w:val="000955D9"/>
    <w:rsid w:val="00095654"/>
    <w:rsid w:val="0009568E"/>
    <w:rsid w:val="00095FA4"/>
    <w:rsid w:val="0009607B"/>
    <w:rsid w:val="00096312"/>
    <w:rsid w:val="00096814"/>
    <w:rsid w:val="00096B78"/>
    <w:rsid w:val="00096F08"/>
    <w:rsid w:val="00096FF1"/>
    <w:rsid w:val="000971C0"/>
    <w:rsid w:val="000972E8"/>
    <w:rsid w:val="000A0138"/>
    <w:rsid w:val="000A019B"/>
    <w:rsid w:val="000A029E"/>
    <w:rsid w:val="000A04C5"/>
    <w:rsid w:val="000A0BE1"/>
    <w:rsid w:val="000A0FB4"/>
    <w:rsid w:val="000A124D"/>
    <w:rsid w:val="000A12BD"/>
    <w:rsid w:val="000A1384"/>
    <w:rsid w:val="000A1464"/>
    <w:rsid w:val="000A1558"/>
    <w:rsid w:val="000A1A95"/>
    <w:rsid w:val="000A1DB0"/>
    <w:rsid w:val="000A1FA5"/>
    <w:rsid w:val="000A2239"/>
    <w:rsid w:val="000A23C8"/>
    <w:rsid w:val="000A23E6"/>
    <w:rsid w:val="000A2521"/>
    <w:rsid w:val="000A2833"/>
    <w:rsid w:val="000A2915"/>
    <w:rsid w:val="000A2916"/>
    <w:rsid w:val="000A2CEF"/>
    <w:rsid w:val="000A2F9A"/>
    <w:rsid w:val="000A2FEF"/>
    <w:rsid w:val="000A3019"/>
    <w:rsid w:val="000A30A5"/>
    <w:rsid w:val="000A39D9"/>
    <w:rsid w:val="000A3E28"/>
    <w:rsid w:val="000A3E33"/>
    <w:rsid w:val="000A415B"/>
    <w:rsid w:val="000A45A3"/>
    <w:rsid w:val="000A4707"/>
    <w:rsid w:val="000A471C"/>
    <w:rsid w:val="000A47EB"/>
    <w:rsid w:val="000A4BC5"/>
    <w:rsid w:val="000A4BE4"/>
    <w:rsid w:val="000A4DE2"/>
    <w:rsid w:val="000A503D"/>
    <w:rsid w:val="000A5112"/>
    <w:rsid w:val="000A530B"/>
    <w:rsid w:val="000A5564"/>
    <w:rsid w:val="000A576C"/>
    <w:rsid w:val="000A58A8"/>
    <w:rsid w:val="000A5B6E"/>
    <w:rsid w:val="000A60B9"/>
    <w:rsid w:val="000A626A"/>
    <w:rsid w:val="000A62B3"/>
    <w:rsid w:val="000A62E0"/>
    <w:rsid w:val="000A635F"/>
    <w:rsid w:val="000A6415"/>
    <w:rsid w:val="000A6418"/>
    <w:rsid w:val="000A64BC"/>
    <w:rsid w:val="000A64D6"/>
    <w:rsid w:val="000A65B1"/>
    <w:rsid w:val="000A6771"/>
    <w:rsid w:val="000A6B80"/>
    <w:rsid w:val="000A6BDA"/>
    <w:rsid w:val="000A6EE7"/>
    <w:rsid w:val="000A6F2B"/>
    <w:rsid w:val="000A7059"/>
    <w:rsid w:val="000A70F7"/>
    <w:rsid w:val="000A789C"/>
    <w:rsid w:val="000A78C5"/>
    <w:rsid w:val="000A7C63"/>
    <w:rsid w:val="000A7DB8"/>
    <w:rsid w:val="000A7ED2"/>
    <w:rsid w:val="000B05E3"/>
    <w:rsid w:val="000B1158"/>
    <w:rsid w:val="000B124E"/>
    <w:rsid w:val="000B15B6"/>
    <w:rsid w:val="000B17D7"/>
    <w:rsid w:val="000B1AF3"/>
    <w:rsid w:val="000B1B66"/>
    <w:rsid w:val="000B1DFB"/>
    <w:rsid w:val="000B1E9F"/>
    <w:rsid w:val="000B1F71"/>
    <w:rsid w:val="000B211F"/>
    <w:rsid w:val="000B2456"/>
    <w:rsid w:val="000B257F"/>
    <w:rsid w:val="000B26DA"/>
    <w:rsid w:val="000B280B"/>
    <w:rsid w:val="000B2820"/>
    <w:rsid w:val="000B2B4C"/>
    <w:rsid w:val="000B2B81"/>
    <w:rsid w:val="000B2EE6"/>
    <w:rsid w:val="000B2F93"/>
    <w:rsid w:val="000B322C"/>
    <w:rsid w:val="000B368F"/>
    <w:rsid w:val="000B3821"/>
    <w:rsid w:val="000B3AC2"/>
    <w:rsid w:val="000B3BD6"/>
    <w:rsid w:val="000B3FC5"/>
    <w:rsid w:val="000B41ED"/>
    <w:rsid w:val="000B423F"/>
    <w:rsid w:val="000B42B0"/>
    <w:rsid w:val="000B4507"/>
    <w:rsid w:val="000B4BC6"/>
    <w:rsid w:val="000B4E47"/>
    <w:rsid w:val="000B5251"/>
    <w:rsid w:val="000B5273"/>
    <w:rsid w:val="000B54EA"/>
    <w:rsid w:val="000B55D1"/>
    <w:rsid w:val="000B55D4"/>
    <w:rsid w:val="000B56B1"/>
    <w:rsid w:val="000B570F"/>
    <w:rsid w:val="000B5811"/>
    <w:rsid w:val="000B5A52"/>
    <w:rsid w:val="000B5BEB"/>
    <w:rsid w:val="000B5EB7"/>
    <w:rsid w:val="000B6079"/>
    <w:rsid w:val="000B62B7"/>
    <w:rsid w:val="000B62E6"/>
    <w:rsid w:val="000B6432"/>
    <w:rsid w:val="000B6533"/>
    <w:rsid w:val="000B65C0"/>
    <w:rsid w:val="000B6A3C"/>
    <w:rsid w:val="000B6ADC"/>
    <w:rsid w:val="000B6D1E"/>
    <w:rsid w:val="000B6FAC"/>
    <w:rsid w:val="000B6FE1"/>
    <w:rsid w:val="000B72CC"/>
    <w:rsid w:val="000B7411"/>
    <w:rsid w:val="000B7624"/>
    <w:rsid w:val="000B76A7"/>
    <w:rsid w:val="000B7965"/>
    <w:rsid w:val="000B79DE"/>
    <w:rsid w:val="000C0072"/>
    <w:rsid w:val="000C04D4"/>
    <w:rsid w:val="000C0833"/>
    <w:rsid w:val="000C0841"/>
    <w:rsid w:val="000C09BE"/>
    <w:rsid w:val="000C0B32"/>
    <w:rsid w:val="000C0C9F"/>
    <w:rsid w:val="000C0E39"/>
    <w:rsid w:val="000C1460"/>
    <w:rsid w:val="000C1695"/>
    <w:rsid w:val="000C1940"/>
    <w:rsid w:val="000C195D"/>
    <w:rsid w:val="000C1ADE"/>
    <w:rsid w:val="000C2023"/>
    <w:rsid w:val="000C23FB"/>
    <w:rsid w:val="000C2796"/>
    <w:rsid w:val="000C2991"/>
    <w:rsid w:val="000C2A2D"/>
    <w:rsid w:val="000C2E13"/>
    <w:rsid w:val="000C2E15"/>
    <w:rsid w:val="000C3535"/>
    <w:rsid w:val="000C3BBD"/>
    <w:rsid w:val="000C3D80"/>
    <w:rsid w:val="000C3FFB"/>
    <w:rsid w:val="000C4050"/>
    <w:rsid w:val="000C416E"/>
    <w:rsid w:val="000C441A"/>
    <w:rsid w:val="000C467B"/>
    <w:rsid w:val="000C4AAF"/>
    <w:rsid w:val="000C4AC8"/>
    <w:rsid w:val="000C4B55"/>
    <w:rsid w:val="000C4CBC"/>
    <w:rsid w:val="000C4F8B"/>
    <w:rsid w:val="000C5270"/>
    <w:rsid w:val="000C5285"/>
    <w:rsid w:val="000C5307"/>
    <w:rsid w:val="000C5489"/>
    <w:rsid w:val="000C5744"/>
    <w:rsid w:val="000C5793"/>
    <w:rsid w:val="000C596E"/>
    <w:rsid w:val="000C5BFD"/>
    <w:rsid w:val="000C6150"/>
    <w:rsid w:val="000C61B3"/>
    <w:rsid w:val="000C67FA"/>
    <w:rsid w:val="000C691F"/>
    <w:rsid w:val="000C6AE3"/>
    <w:rsid w:val="000C6C0D"/>
    <w:rsid w:val="000C6F1E"/>
    <w:rsid w:val="000C6FBD"/>
    <w:rsid w:val="000C7580"/>
    <w:rsid w:val="000C7AE3"/>
    <w:rsid w:val="000C7BCC"/>
    <w:rsid w:val="000C7DAA"/>
    <w:rsid w:val="000C7F2D"/>
    <w:rsid w:val="000C7F6A"/>
    <w:rsid w:val="000C7FFE"/>
    <w:rsid w:val="000D0066"/>
    <w:rsid w:val="000D00D4"/>
    <w:rsid w:val="000D04C2"/>
    <w:rsid w:val="000D06A7"/>
    <w:rsid w:val="000D0AF3"/>
    <w:rsid w:val="000D0B66"/>
    <w:rsid w:val="000D0C7C"/>
    <w:rsid w:val="000D0E8E"/>
    <w:rsid w:val="000D1030"/>
    <w:rsid w:val="000D11C3"/>
    <w:rsid w:val="000D1255"/>
    <w:rsid w:val="000D14B7"/>
    <w:rsid w:val="000D16A7"/>
    <w:rsid w:val="000D19E5"/>
    <w:rsid w:val="000D1D4E"/>
    <w:rsid w:val="000D207F"/>
    <w:rsid w:val="000D220C"/>
    <w:rsid w:val="000D229E"/>
    <w:rsid w:val="000D255B"/>
    <w:rsid w:val="000D2674"/>
    <w:rsid w:val="000D2AFB"/>
    <w:rsid w:val="000D2CA3"/>
    <w:rsid w:val="000D2F8F"/>
    <w:rsid w:val="000D30AA"/>
    <w:rsid w:val="000D30E8"/>
    <w:rsid w:val="000D3120"/>
    <w:rsid w:val="000D3286"/>
    <w:rsid w:val="000D329C"/>
    <w:rsid w:val="000D358B"/>
    <w:rsid w:val="000D3625"/>
    <w:rsid w:val="000D366F"/>
    <w:rsid w:val="000D3AF7"/>
    <w:rsid w:val="000D4AF8"/>
    <w:rsid w:val="000D4D3B"/>
    <w:rsid w:val="000D4EEC"/>
    <w:rsid w:val="000D5175"/>
    <w:rsid w:val="000D53ED"/>
    <w:rsid w:val="000D5634"/>
    <w:rsid w:val="000D585F"/>
    <w:rsid w:val="000D58BF"/>
    <w:rsid w:val="000D5BD1"/>
    <w:rsid w:val="000D5C90"/>
    <w:rsid w:val="000D5D3A"/>
    <w:rsid w:val="000D5D7A"/>
    <w:rsid w:val="000D5E26"/>
    <w:rsid w:val="000D6069"/>
    <w:rsid w:val="000D67A6"/>
    <w:rsid w:val="000D6D31"/>
    <w:rsid w:val="000D6D47"/>
    <w:rsid w:val="000D6D73"/>
    <w:rsid w:val="000D7ADF"/>
    <w:rsid w:val="000D7BD4"/>
    <w:rsid w:val="000D7FCB"/>
    <w:rsid w:val="000E03A4"/>
    <w:rsid w:val="000E04E2"/>
    <w:rsid w:val="000E0516"/>
    <w:rsid w:val="000E0869"/>
    <w:rsid w:val="000E0C2B"/>
    <w:rsid w:val="000E1135"/>
    <w:rsid w:val="000E13DE"/>
    <w:rsid w:val="000E141E"/>
    <w:rsid w:val="000E1623"/>
    <w:rsid w:val="000E193A"/>
    <w:rsid w:val="000E1F57"/>
    <w:rsid w:val="000E2279"/>
    <w:rsid w:val="000E2463"/>
    <w:rsid w:val="000E27D6"/>
    <w:rsid w:val="000E27E2"/>
    <w:rsid w:val="000E295E"/>
    <w:rsid w:val="000E2B25"/>
    <w:rsid w:val="000E2B69"/>
    <w:rsid w:val="000E3292"/>
    <w:rsid w:val="000E33BC"/>
    <w:rsid w:val="000E33E1"/>
    <w:rsid w:val="000E33FC"/>
    <w:rsid w:val="000E34DC"/>
    <w:rsid w:val="000E379D"/>
    <w:rsid w:val="000E3D03"/>
    <w:rsid w:val="000E495A"/>
    <w:rsid w:val="000E4A14"/>
    <w:rsid w:val="000E4C9C"/>
    <w:rsid w:val="000E53BC"/>
    <w:rsid w:val="000E5787"/>
    <w:rsid w:val="000E58D4"/>
    <w:rsid w:val="000E5929"/>
    <w:rsid w:val="000E5995"/>
    <w:rsid w:val="000E59FC"/>
    <w:rsid w:val="000E5C82"/>
    <w:rsid w:val="000E5D68"/>
    <w:rsid w:val="000E623C"/>
    <w:rsid w:val="000E6BAC"/>
    <w:rsid w:val="000E6BED"/>
    <w:rsid w:val="000E6CC5"/>
    <w:rsid w:val="000E6D51"/>
    <w:rsid w:val="000E6D94"/>
    <w:rsid w:val="000E6E31"/>
    <w:rsid w:val="000E727E"/>
    <w:rsid w:val="000E7331"/>
    <w:rsid w:val="000E743D"/>
    <w:rsid w:val="000E76E0"/>
    <w:rsid w:val="000E7C31"/>
    <w:rsid w:val="000E7CD4"/>
    <w:rsid w:val="000F005F"/>
    <w:rsid w:val="000F01F2"/>
    <w:rsid w:val="000F0520"/>
    <w:rsid w:val="000F05EF"/>
    <w:rsid w:val="000F0C5E"/>
    <w:rsid w:val="000F1E5D"/>
    <w:rsid w:val="000F2D31"/>
    <w:rsid w:val="000F2E57"/>
    <w:rsid w:val="000F2E96"/>
    <w:rsid w:val="000F2EC8"/>
    <w:rsid w:val="000F2EF0"/>
    <w:rsid w:val="000F3514"/>
    <w:rsid w:val="000F3813"/>
    <w:rsid w:val="000F3EAB"/>
    <w:rsid w:val="000F4255"/>
    <w:rsid w:val="000F42D0"/>
    <w:rsid w:val="000F477E"/>
    <w:rsid w:val="000F48BE"/>
    <w:rsid w:val="000F49B4"/>
    <w:rsid w:val="000F4FB5"/>
    <w:rsid w:val="000F54BD"/>
    <w:rsid w:val="000F54C7"/>
    <w:rsid w:val="000F55C7"/>
    <w:rsid w:val="000F597F"/>
    <w:rsid w:val="000F5E2F"/>
    <w:rsid w:val="000F6272"/>
    <w:rsid w:val="000F673A"/>
    <w:rsid w:val="000F6BD9"/>
    <w:rsid w:val="000F6C14"/>
    <w:rsid w:val="000F714D"/>
    <w:rsid w:val="000F72A9"/>
    <w:rsid w:val="000F74EE"/>
    <w:rsid w:val="000F75C1"/>
    <w:rsid w:val="000F7B04"/>
    <w:rsid w:val="000F7BB8"/>
    <w:rsid w:val="000F7D0B"/>
    <w:rsid w:val="000F7FFD"/>
    <w:rsid w:val="00100190"/>
    <w:rsid w:val="0010091A"/>
    <w:rsid w:val="001017E0"/>
    <w:rsid w:val="00101B15"/>
    <w:rsid w:val="001021C7"/>
    <w:rsid w:val="00102830"/>
    <w:rsid w:val="00102A37"/>
    <w:rsid w:val="00102CD5"/>
    <w:rsid w:val="001033D7"/>
    <w:rsid w:val="001034CE"/>
    <w:rsid w:val="00103635"/>
    <w:rsid w:val="0010363B"/>
    <w:rsid w:val="0010368E"/>
    <w:rsid w:val="00103B48"/>
    <w:rsid w:val="00103C17"/>
    <w:rsid w:val="00103ECB"/>
    <w:rsid w:val="00103F52"/>
    <w:rsid w:val="0010419F"/>
    <w:rsid w:val="0010482C"/>
    <w:rsid w:val="00104BB9"/>
    <w:rsid w:val="00104C93"/>
    <w:rsid w:val="00104DA0"/>
    <w:rsid w:val="00104ED8"/>
    <w:rsid w:val="00105027"/>
    <w:rsid w:val="00105064"/>
    <w:rsid w:val="0010586C"/>
    <w:rsid w:val="00105D39"/>
    <w:rsid w:val="00105D4B"/>
    <w:rsid w:val="00105DCC"/>
    <w:rsid w:val="00105FC1"/>
    <w:rsid w:val="001063C8"/>
    <w:rsid w:val="00106670"/>
    <w:rsid w:val="00106B7E"/>
    <w:rsid w:val="00106D12"/>
    <w:rsid w:val="0010721C"/>
    <w:rsid w:val="00107412"/>
    <w:rsid w:val="00107543"/>
    <w:rsid w:val="0010794E"/>
    <w:rsid w:val="00107B81"/>
    <w:rsid w:val="001100FA"/>
    <w:rsid w:val="00110127"/>
    <w:rsid w:val="001105A6"/>
    <w:rsid w:val="00110668"/>
    <w:rsid w:val="00110B4D"/>
    <w:rsid w:val="00110D51"/>
    <w:rsid w:val="001110DA"/>
    <w:rsid w:val="00111336"/>
    <w:rsid w:val="0011155D"/>
    <w:rsid w:val="0011163A"/>
    <w:rsid w:val="00111B5B"/>
    <w:rsid w:val="00111BE8"/>
    <w:rsid w:val="00112031"/>
    <w:rsid w:val="00112117"/>
    <w:rsid w:val="00112B28"/>
    <w:rsid w:val="00112BED"/>
    <w:rsid w:val="00112C9C"/>
    <w:rsid w:val="001135C0"/>
    <w:rsid w:val="001136B0"/>
    <w:rsid w:val="00113779"/>
    <w:rsid w:val="001139DA"/>
    <w:rsid w:val="001139FC"/>
    <w:rsid w:val="00113A26"/>
    <w:rsid w:val="001141B2"/>
    <w:rsid w:val="00114462"/>
    <w:rsid w:val="001146A7"/>
    <w:rsid w:val="00114A0F"/>
    <w:rsid w:val="00115033"/>
    <w:rsid w:val="001151D4"/>
    <w:rsid w:val="0011538C"/>
    <w:rsid w:val="001154A5"/>
    <w:rsid w:val="0011557C"/>
    <w:rsid w:val="00115908"/>
    <w:rsid w:val="00115C72"/>
    <w:rsid w:val="00115D33"/>
    <w:rsid w:val="0011620B"/>
    <w:rsid w:val="0011665E"/>
    <w:rsid w:val="0011672D"/>
    <w:rsid w:val="001168D3"/>
    <w:rsid w:val="001168FC"/>
    <w:rsid w:val="001169A3"/>
    <w:rsid w:val="00116CF8"/>
    <w:rsid w:val="00116D4E"/>
    <w:rsid w:val="001171A8"/>
    <w:rsid w:val="001174BC"/>
    <w:rsid w:val="00117927"/>
    <w:rsid w:val="00117A01"/>
    <w:rsid w:val="00120230"/>
    <w:rsid w:val="001202E1"/>
    <w:rsid w:val="0012032C"/>
    <w:rsid w:val="001204B6"/>
    <w:rsid w:val="00120A6F"/>
    <w:rsid w:val="00120CDA"/>
    <w:rsid w:val="00120D90"/>
    <w:rsid w:val="00121023"/>
    <w:rsid w:val="001211C7"/>
    <w:rsid w:val="00121593"/>
    <w:rsid w:val="00121638"/>
    <w:rsid w:val="00121825"/>
    <w:rsid w:val="001220E0"/>
    <w:rsid w:val="0012211D"/>
    <w:rsid w:val="00122143"/>
    <w:rsid w:val="001221BC"/>
    <w:rsid w:val="00122986"/>
    <w:rsid w:val="00122A93"/>
    <w:rsid w:val="001233F5"/>
    <w:rsid w:val="00123528"/>
    <w:rsid w:val="0012359E"/>
    <w:rsid w:val="00123655"/>
    <w:rsid w:val="001236EE"/>
    <w:rsid w:val="00123726"/>
    <w:rsid w:val="001238AB"/>
    <w:rsid w:val="00124521"/>
    <w:rsid w:val="00124A1B"/>
    <w:rsid w:val="00124A22"/>
    <w:rsid w:val="00124A9A"/>
    <w:rsid w:val="00124DAD"/>
    <w:rsid w:val="00124FD3"/>
    <w:rsid w:val="001250F5"/>
    <w:rsid w:val="00125103"/>
    <w:rsid w:val="00125269"/>
    <w:rsid w:val="001253BE"/>
    <w:rsid w:val="0012554A"/>
    <w:rsid w:val="00125639"/>
    <w:rsid w:val="001257C6"/>
    <w:rsid w:val="00125B1F"/>
    <w:rsid w:val="0012655A"/>
    <w:rsid w:val="001266E0"/>
    <w:rsid w:val="0012678C"/>
    <w:rsid w:val="001267F7"/>
    <w:rsid w:val="0012688A"/>
    <w:rsid w:val="00127581"/>
    <w:rsid w:val="00127E37"/>
    <w:rsid w:val="00127F4D"/>
    <w:rsid w:val="00130449"/>
    <w:rsid w:val="00130857"/>
    <w:rsid w:val="00130961"/>
    <w:rsid w:val="00130F5D"/>
    <w:rsid w:val="00130FB7"/>
    <w:rsid w:val="001312C2"/>
    <w:rsid w:val="00131419"/>
    <w:rsid w:val="00131B91"/>
    <w:rsid w:val="00131E52"/>
    <w:rsid w:val="00132003"/>
    <w:rsid w:val="0013222D"/>
    <w:rsid w:val="00132246"/>
    <w:rsid w:val="001323C3"/>
    <w:rsid w:val="00132830"/>
    <w:rsid w:val="001328B4"/>
    <w:rsid w:val="00132A62"/>
    <w:rsid w:val="00132CDE"/>
    <w:rsid w:val="0013301E"/>
    <w:rsid w:val="00133059"/>
    <w:rsid w:val="001335AE"/>
    <w:rsid w:val="0013363A"/>
    <w:rsid w:val="001336DB"/>
    <w:rsid w:val="001337EF"/>
    <w:rsid w:val="00133899"/>
    <w:rsid w:val="00133BF7"/>
    <w:rsid w:val="00133F9A"/>
    <w:rsid w:val="00133FDC"/>
    <w:rsid w:val="00134003"/>
    <w:rsid w:val="001340DE"/>
    <w:rsid w:val="00134689"/>
    <w:rsid w:val="00134931"/>
    <w:rsid w:val="00134E6A"/>
    <w:rsid w:val="0013569D"/>
    <w:rsid w:val="001356E2"/>
    <w:rsid w:val="001358F6"/>
    <w:rsid w:val="001359AE"/>
    <w:rsid w:val="00135BAE"/>
    <w:rsid w:val="00135D1F"/>
    <w:rsid w:val="00135FEF"/>
    <w:rsid w:val="001360DA"/>
    <w:rsid w:val="001364CF"/>
    <w:rsid w:val="00136C04"/>
    <w:rsid w:val="00136DC2"/>
    <w:rsid w:val="001374E2"/>
    <w:rsid w:val="00137588"/>
    <w:rsid w:val="001375CB"/>
    <w:rsid w:val="00137607"/>
    <w:rsid w:val="001376AF"/>
    <w:rsid w:val="001376DB"/>
    <w:rsid w:val="001379E4"/>
    <w:rsid w:val="00137F68"/>
    <w:rsid w:val="00137F70"/>
    <w:rsid w:val="00140082"/>
    <w:rsid w:val="001401DC"/>
    <w:rsid w:val="0014038E"/>
    <w:rsid w:val="0014046B"/>
    <w:rsid w:val="00140D32"/>
    <w:rsid w:val="00140ED7"/>
    <w:rsid w:val="00141044"/>
    <w:rsid w:val="0014127C"/>
    <w:rsid w:val="0014139E"/>
    <w:rsid w:val="00141596"/>
    <w:rsid w:val="001416F9"/>
    <w:rsid w:val="00141812"/>
    <w:rsid w:val="001419F4"/>
    <w:rsid w:val="00141B51"/>
    <w:rsid w:val="00141F61"/>
    <w:rsid w:val="00142750"/>
    <w:rsid w:val="00142767"/>
    <w:rsid w:val="001427BD"/>
    <w:rsid w:val="00142CD6"/>
    <w:rsid w:val="00142F9E"/>
    <w:rsid w:val="0014300D"/>
    <w:rsid w:val="001430A1"/>
    <w:rsid w:val="00143126"/>
    <w:rsid w:val="0014335A"/>
    <w:rsid w:val="00143719"/>
    <w:rsid w:val="00143752"/>
    <w:rsid w:val="001437EC"/>
    <w:rsid w:val="00143812"/>
    <w:rsid w:val="00143864"/>
    <w:rsid w:val="00143912"/>
    <w:rsid w:val="00143A38"/>
    <w:rsid w:val="00143C3C"/>
    <w:rsid w:val="00143E74"/>
    <w:rsid w:val="00144032"/>
    <w:rsid w:val="00144079"/>
    <w:rsid w:val="0014413A"/>
    <w:rsid w:val="001441D8"/>
    <w:rsid w:val="00144319"/>
    <w:rsid w:val="001443E2"/>
    <w:rsid w:val="001445A0"/>
    <w:rsid w:val="00145144"/>
    <w:rsid w:val="00145603"/>
    <w:rsid w:val="00145629"/>
    <w:rsid w:val="001458B0"/>
    <w:rsid w:val="00145A8C"/>
    <w:rsid w:val="00145AF6"/>
    <w:rsid w:val="00145B3B"/>
    <w:rsid w:val="00145C41"/>
    <w:rsid w:val="00146272"/>
    <w:rsid w:val="001462A1"/>
    <w:rsid w:val="00146372"/>
    <w:rsid w:val="00146548"/>
    <w:rsid w:val="0014696A"/>
    <w:rsid w:val="0014698B"/>
    <w:rsid w:val="00146AA5"/>
    <w:rsid w:val="001471AA"/>
    <w:rsid w:val="00147526"/>
    <w:rsid w:val="0014775D"/>
    <w:rsid w:val="00147C10"/>
    <w:rsid w:val="00150247"/>
    <w:rsid w:val="00150571"/>
    <w:rsid w:val="00150DB1"/>
    <w:rsid w:val="00150E38"/>
    <w:rsid w:val="00150FC5"/>
    <w:rsid w:val="001511D4"/>
    <w:rsid w:val="0015166F"/>
    <w:rsid w:val="00151A7F"/>
    <w:rsid w:val="00152186"/>
    <w:rsid w:val="0015246C"/>
    <w:rsid w:val="001529D7"/>
    <w:rsid w:val="001529DE"/>
    <w:rsid w:val="00152A01"/>
    <w:rsid w:val="00152B95"/>
    <w:rsid w:val="00152C75"/>
    <w:rsid w:val="00152EB3"/>
    <w:rsid w:val="00152FE4"/>
    <w:rsid w:val="00153038"/>
    <w:rsid w:val="00153547"/>
    <w:rsid w:val="00153866"/>
    <w:rsid w:val="001538DA"/>
    <w:rsid w:val="00153B03"/>
    <w:rsid w:val="00153E56"/>
    <w:rsid w:val="00153E91"/>
    <w:rsid w:val="00153FAA"/>
    <w:rsid w:val="0015418A"/>
    <w:rsid w:val="001541BA"/>
    <w:rsid w:val="001543C2"/>
    <w:rsid w:val="00154455"/>
    <w:rsid w:val="001547A6"/>
    <w:rsid w:val="001547B6"/>
    <w:rsid w:val="00154AEF"/>
    <w:rsid w:val="00154B22"/>
    <w:rsid w:val="00154DF5"/>
    <w:rsid w:val="001553BC"/>
    <w:rsid w:val="001554BB"/>
    <w:rsid w:val="001556FB"/>
    <w:rsid w:val="00155724"/>
    <w:rsid w:val="00155B21"/>
    <w:rsid w:val="00155BEB"/>
    <w:rsid w:val="00155CB6"/>
    <w:rsid w:val="00155D9A"/>
    <w:rsid w:val="00155FD0"/>
    <w:rsid w:val="001568FC"/>
    <w:rsid w:val="001569A4"/>
    <w:rsid w:val="00156A92"/>
    <w:rsid w:val="001575E5"/>
    <w:rsid w:val="00157768"/>
    <w:rsid w:val="001579EE"/>
    <w:rsid w:val="00157A8E"/>
    <w:rsid w:val="00157BB2"/>
    <w:rsid w:val="00160076"/>
    <w:rsid w:val="001604AF"/>
    <w:rsid w:val="0016086C"/>
    <w:rsid w:val="00160A12"/>
    <w:rsid w:val="00160B59"/>
    <w:rsid w:val="00160E15"/>
    <w:rsid w:val="001613C4"/>
    <w:rsid w:val="00161801"/>
    <w:rsid w:val="001618A4"/>
    <w:rsid w:val="0016191B"/>
    <w:rsid w:val="0016195F"/>
    <w:rsid w:val="00161BB0"/>
    <w:rsid w:val="00161D7C"/>
    <w:rsid w:val="001621CB"/>
    <w:rsid w:val="00162365"/>
    <w:rsid w:val="001623AA"/>
    <w:rsid w:val="001623BB"/>
    <w:rsid w:val="00162748"/>
    <w:rsid w:val="0016324C"/>
    <w:rsid w:val="001632A0"/>
    <w:rsid w:val="001632FB"/>
    <w:rsid w:val="001633A5"/>
    <w:rsid w:val="00163992"/>
    <w:rsid w:val="00163B06"/>
    <w:rsid w:val="00163EA2"/>
    <w:rsid w:val="00163FA3"/>
    <w:rsid w:val="00164572"/>
    <w:rsid w:val="00164719"/>
    <w:rsid w:val="0016480E"/>
    <w:rsid w:val="00164E4D"/>
    <w:rsid w:val="00165463"/>
    <w:rsid w:val="001655FD"/>
    <w:rsid w:val="0016583A"/>
    <w:rsid w:val="00165A51"/>
    <w:rsid w:val="00165E67"/>
    <w:rsid w:val="00166160"/>
    <w:rsid w:val="00166421"/>
    <w:rsid w:val="00166716"/>
    <w:rsid w:val="00166825"/>
    <w:rsid w:val="001668E9"/>
    <w:rsid w:val="00166B49"/>
    <w:rsid w:val="00166C22"/>
    <w:rsid w:val="00166CC5"/>
    <w:rsid w:val="00166F36"/>
    <w:rsid w:val="00167069"/>
    <w:rsid w:val="00167131"/>
    <w:rsid w:val="001674AA"/>
    <w:rsid w:val="001675E1"/>
    <w:rsid w:val="0016769B"/>
    <w:rsid w:val="001676E3"/>
    <w:rsid w:val="00167796"/>
    <w:rsid w:val="001679A9"/>
    <w:rsid w:val="00167B48"/>
    <w:rsid w:val="00167BE8"/>
    <w:rsid w:val="00167F03"/>
    <w:rsid w:val="0017004D"/>
    <w:rsid w:val="0017028A"/>
    <w:rsid w:val="0017056B"/>
    <w:rsid w:val="00170708"/>
    <w:rsid w:val="0017071E"/>
    <w:rsid w:val="00170A6A"/>
    <w:rsid w:val="00170B68"/>
    <w:rsid w:val="00170D2F"/>
    <w:rsid w:val="00170F5B"/>
    <w:rsid w:val="00170FA9"/>
    <w:rsid w:val="00171074"/>
    <w:rsid w:val="00171091"/>
    <w:rsid w:val="00171264"/>
    <w:rsid w:val="001713F2"/>
    <w:rsid w:val="001715E5"/>
    <w:rsid w:val="00171AA9"/>
    <w:rsid w:val="00171B1B"/>
    <w:rsid w:val="00171CBD"/>
    <w:rsid w:val="00171F09"/>
    <w:rsid w:val="00172155"/>
    <w:rsid w:val="0017268F"/>
    <w:rsid w:val="001729A9"/>
    <w:rsid w:val="00172CB7"/>
    <w:rsid w:val="00173185"/>
    <w:rsid w:val="0017319E"/>
    <w:rsid w:val="0017320C"/>
    <w:rsid w:val="00173509"/>
    <w:rsid w:val="00173610"/>
    <w:rsid w:val="00173664"/>
    <w:rsid w:val="00173A7B"/>
    <w:rsid w:val="00173B91"/>
    <w:rsid w:val="00173BDA"/>
    <w:rsid w:val="00173C1A"/>
    <w:rsid w:val="0017403D"/>
    <w:rsid w:val="00174079"/>
    <w:rsid w:val="0017410A"/>
    <w:rsid w:val="00174300"/>
    <w:rsid w:val="001747AB"/>
    <w:rsid w:val="0017482F"/>
    <w:rsid w:val="001749A9"/>
    <w:rsid w:val="00174A86"/>
    <w:rsid w:val="00174E34"/>
    <w:rsid w:val="001753ED"/>
    <w:rsid w:val="00175437"/>
    <w:rsid w:val="0017576F"/>
    <w:rsid w:val="001757D8"/>
    <w:rsid w:val="00175AA0"/>
    <w:rsid w:val="00175C6C"/>
    <w:rsid w:val="00175DC5"/>
    <w:rsid w:val="00175DE2"/>
    <w:rsid w:val="00175EEE"/>
    <w:rsid w:val="00176287"/>
    <w:rsid w:val="00176377"/>
    <w:rsid w:val="00176833"/>
    <w:rsid w:val="00176F7E"/>
    <w:rsid w:val="00176FA5"/>
    <w:rsid w:val="0017722C"/>
    <w:rsid w:val="0017724F"/>
    <w:rsid w:val="001772D2"/>
    <w:rsid w:val="0017736C"/>
    <w:rsid w:val="001773C2"/>
    <w:rsid w:val="001778D9"/>
    <w:rsid w:val="00177A1F"/>
    <w:rsid w:val="00177A7B"/>
    <w:rsid w:val="00177FAC"/>
    <w:rsid w:val="00180050"/>
    <w:rsid w:val="0018014B"/>
    <w:rsid w:val="0018025E"/>
    <w:rsid w:val="00180369"/>
    <w:rsid w:val="001804C2"/>
    <w:rsid w:val="00180591"/>
    <w:rsid w:val="00180710"/>
    <w:rsid w:val="001808CC"/>
    <w:rsid w:val="00180A5F"/>
    <w:rsid w:val="00180BD3"/>
    <w:rsid w:val="00180EC2"/>
    <w:rsid w:val="001811BD"/>
    <w:rsid w:val="0018131E"/>
    <w:rsid w:val="00181776"/>
    <w:rsid w:val="00181AEE"/>
    <w:rsid w:val="00181FE4"/>
    <w:rsid w:val="001820B0"/>
    <w:rsid w:val="0018225A"/>
    <w:rsid w:val="0018241F"/>
    <w:rsid w:val="0018288A"/>
    <w:rsid w:val="00182A42"/>
    <w:rsid w:val="00182ABC"/>
    <w:rsid w:val="00182C74"/>
    <w:rsid w:val="00182C93"/>
    <w:rsid w:val="001831EC"/>
    <w:rsid w:val="00183253"/>
    <w:rsid w:val="001835C0"/>
    <w:rsid w:val="001838B5"/>
    <w:rsid w:val="00183BE9"/>
    <w:rsid w:val="00183CB0"/>
    <w:rsid w:val="00183D08"/>
    <w:rsid w:val="00183D23"/>
    <w:rsid w:val="00183E4C"/>
    <w:rsid w:val="00184071"/>
    <w:rsid w:val="00184125"/>
    <w:rsid w:val="0018418C"/>
    <w:rsid w:val="00184613"/>
    <w:rsid w:val="00184D57"/>
    <w:rsid w:val="00184DB9"/>
    <w:rsid w:val="00184E3F"/>
    <w:rsid w:val="00184F1A"/>
    <w:rsid w:val="00184F21"/>
    <w:rsid w:val="00185183"/>
    <w:rsid w:val="00185735"/>
    <w:rsid w:val="0018579B"/>
    <w:rsid w:val="001857BE"/>
    <w:rsid w:val="00185B01"/>
    <w:rsid w:val="001860E8"/>
    <w:rsid w:val="00186202"/>
    <w:rsid w:val="001867F8"/>
    <w:rsid w:val="00186E18"/>
    <w:rsid w:val="00186E6C"/>
    <w:rsid w:val="0018700B"/>
    <w:rsid w:val="00187220"/>
    <w:rsid w:val="001876DB"/>
    <w:rsid w:val="001879D8"/>
    <w:rsid w:val="00187E5F"/>
    <w:rsid w:val="00187FB4"/>
    <w:rsid w:val="001901EE"/>
    <w:rsid w:val="00190252"/>
    <w:rsid w:val="001904D9"/>
    <w:rsid w:val="00190539"/>
    <w:rsid w:val="0019053D"/>
    <w:rsid w:val="00190546"/>
    <w:rsid w:val="0019090D"/>
    <w:rsid w:val="00190D14"/>
    <w:rsid w:val="00190E0F"/>
    <w:rsid w:val="001912C3"/>
    <w:rsid w:val="001917F0"/>
    <w:rsid w:val="00191839"/>
    <w:rsid w:val="0019196D"/>
    <w:rsid w:val="00191A46"/>
    <w:rsid w:val="00191D3B"/>
    <w:rsid w:val="001922CE"/>
    <w:rsid w:val="00192518"/>
    <w:rsid w:val="00192717"/>
    <w:rsid w:val="00192870"/>
    <w:rsid w:val="001929D4"/>
    <w:rsid w:val="00192A54"/>
    <w:rsid w:val="00192CA2"/>
    <w:rsid w:val="00192ECA"/>
    <w:rsid w:val="00193876"/>
    <w:rsid w:val="00193B1C"/>
    <w:rsid w:val="00193B4E"/>
    <w:rsid w:val="001947E2"/>
    <w:rsid w:val="00194FCA"/>
    <w:rsid w:val="00195262"/>
    <w:rsid w:val="001952CA"/>
    <w:rsid w:val="0019581A"/>
    <w:rsid w:val="00195C73"/>
    <w:rsid w:val="00196203"/>
    <w:rsid w:val="001966EE"/>
    <w:rsid w:val="00196832"/>
    <w:rsid w:val="0019693C"/>
    <w:rsid w:val="00196B7C"/>
    <w:rsid w:val="00196C0A"/>
    <w:rsid w:val="00196DE1"/>
    <w:rsid w:val="00197546"/>
    <w:rsid w:val="00197615"/>
    <w:rsid w:val="00197883"/>
    <w:rsid w:val="00197C03"/>
    <w:rsid w:val="00197F14"/>
    <w:rsid w:val="001A0262"/>
    <w:rsid w:val="001A03EF"/>
    <w:rsid w:val="001A0410"/>
    <w:rsid w:val="001A0833"/>
    <w:rsid w:val="001A0A1E"/>
    <w:rsid w:val="001A0CE0"/>
    <w:rsid w:val="001A0D65"/>
    <w:rsid w:val="001A13D4"/>
    <w:rsid w:val="001A1408"/>
    <w:rsid w:val="001A15B0"/>
    <w:rsid w:val="001A179C"/>
    <w:rsid w:val="001A17BA"/>
    <w:rsid w:val="001A18A5"/>
    <w:rsid w:val="001A1DD9"/>
    <w:rsid w:val="001A20CC"/>
    <w:rsid w:val="001A21BA"/>
    <w:rsid w:val="001A2227"/>
    <w:rsid w:val="001A23AB"/>
    <w:rsid w:val="001A246D"/>
    <w:rsid w:val="001A2478"/>
    <w:rsid w:val="001A25D0"/>
    <w:rsid w:val="001A2A08"/>
    <w:rsid w:val="001A3112"/>
    <w:rsid w:val="001A3267"/>
    <w:rsid w:val="001A3611"/>
    <w:rsid w:val="001A3B44"/>
    <w:rsid w:val="001A3BD7"/>
    <w:rsid w:val="001A3DCA"/>
    <w:rsid w:val="001A3EC6"/>
    <w:rsid w:val="001A406E"/>
    <w:rsid w:val="001A40FB"/>
    <w:rsid w:val="001A4627"/>
    <w:rsid w:val="001A470C"/>
    <w:rsid w:val="001A4732"/>
    <w:rsid w:val="001A498C"/>
    <w:rsid w:val="001A4ACA"/>
    <w:rsid w:val="001A4F09"/>
    <w:rsid w:val="001A5443"/>
    <w:rsid w:val="001A57AC"/>
    <w:rsid w:val="001A590A"/>
    <w:rsid w:val="001A5B24"/>
    <w:rsid w:val="001A5BBB"/>
    <w:rsid w:val="001A5C45"/>
    <w:rsid w:val="001A5E31"/>
    <w:rsid w:val="001A62A8"/>
    <w:rsid w:val="001A6C8B"/>
    <w:rsid w:val="001A6D3E"/>
    <w:rsid w:val="001A6E94"/>
    <w:rsid w:val="001A6FE0"/>
    <w:rsid w:val="001A711E"/>
    <w:rsid w:val="001A73CC"/>
    <w:rsid w:val="001A7450"/>
    <w:rsid w:val="001A7658"/>
    <w:rsid w:val="001A76AC"/>
    <w:rsid w:val="001A770E"/>
    <w:rsid w:val="001A7906"/>
    <w:rsid w:val="001A7B4D"/>
    <w:rsid w:val="001A7D17"/>
    <w:rsid w:val="001A7D4B"/>
    <w:rsid w:val="001B0AE9"/>
    <w:rsid w:val="001B0C1C"/>
    <w:rsid w:val="001B0CE4"/>
    <w:rsid w:val="001B0FF2"/>
    <w:rsid w:val="001B10EB"/>
    <w:rsid w:val="001B1273"/>
    <w:rsid w:val="001B1534"/>
    <w:rsid w:val="001B1638"/>
    <w:rsid w:val="001B17E8"/>
    <w:rsid w:val="001B1C33"/>
    <w:rsid w:val="001B2768"/>
    <w:rsid w:val="001B2850"/>
    <w:rsid w:val="001B2BA8"/>
    <w:rsid w:val="001B2BB8"/>
    <w:rsid w:val="001B303E"/>
    <w:rsid w:val="001B308A"/>
    <w:rsid w:val="001B312D"/>
    <w:rsid w:val="001B335A"/>
    <w:rsid w:val="001B365A"/>
    <w:rsid w:val="001B3809"/>
    <w:rsid w:val="001B39A3"/>
    <w:rsid w:val="001B3B59"/>
    <w:rsid w:val="001B43AB"/>
    <w:rsid w:val="001B43D3"/>
    <w:rsid w:val="001B4652"/>
    <w:rsid w:val="001B49AD"/>
    <w:rsid w:val="001B4ABC"/>
    <w:rsid w:val="001B4C87"/>
    <w:rsid w:val="001B4C8B"/>
    <w:rsid w:val="001B4E2A"/>
    <w:rsid w:val="001B4F5D"/>
    <w:rsid w:val="001B4FFB"/>
    <w:rsid w:val="001B5084"/>
    <w:rsid w:val="001B55A2"/>
    <w:rsid w:val="001B55D0"/>
    <w:rsid w:val="001B5841"/>
    <w:rsid w:val="001B597D"/>
    <w:rsid w:val="001B59EA"/>
    <w:rsid w:val="001B5A96"/>
    <w:rsid w:val="001B5BA6"/>
    <w:rsid w:val="001B5E10"/>
    <w:rsid w:val="001B5E7A"/>
    <w:rsid w:val="001B5F7E"/>
    <w:rsid w:val="001B62EB"/>
    <w:rsid w:val="001B63D9"/>
    <w:rsid w:val="001B640C"/>
    <w:rsid w:val="001B64B5"/>
    <w:rsid w:val="001B6BCD"/>
    <w:rsid w:val="001B6C70"/>
    <w:rsid w:val="001B6D98"/>
    <w:rsid w:val="001B6F5F"/>
    <w:rsid w:val="001B7385"/>
    <w:rsid w:val="001B7B75"/>
    <w:rsid w:val="001B7D3D"/>
    <w:rsid w:val="001B7D6C"/>
    <w:rsid w:val="001B7FE7"/>
    <w:rsid w:val="001C01EA"/>
    <w:rsid w:val="001C04AC"/>
    <w:rsid w:val="001C05DB"/>
    <w:rsid w:val="001C0A13"/>
    <w:rsid w:val="001C0B12"/>
    <w:rsid w:val="001C0E21"/>
    <w:rsid w:val="001C0F38"/>
    <w:rsid w:val="001C0FC7"/>
    <w:rsid w:val="001C122B"/>
    <w:rsid w:val="001C141B"/>
    <w:rsid w:val="001C14B6"/>
    <w:rsid w:val="001C1842"/>
    <w:rsid w:val="001C1B61"/>
    <w:rsid w:val="001C1BB4"/>
    <w:rsid w:val="001C1ECA"/>
    <w:rsid w:val="001C2103"/>
    <w:rsid w:val="001C2543"/>
    <w:rsid w:val="001C2888"/>
    <w:rsid w:val="001C2A61"/>
    <w:rsid w:val="001C2E38"/>
    <w:rsid w:val="001C2EB8"/>
    <w:rsid w:val="001C3057"/>
    <w:rsid w:val="001C3133"/>
    <w:rsid w:val="001C3151"/>
    <w:rsid w:val="001C34D2"/>
    <w:rsid w:val="001C3649"/>
    <w:rsid w:val="001C3FF0"/>
    <w:rsid w:val="001C3FFB"/>
    <w:rsid w:val="001C48B4"/>
    <w:rsid w:val="001C4AC9"/>
    <w:rsid w:val="001C4B64"/>
    <w:rsid w:val="001C5427"/>
    <w:rsid w:val="001C54E9"/>
    <w:rsid w:val="001C551D"/>
    <w:rsid w:val="001C5677"/>
    <w:rsid w:val="001C5945"/>
    <w:rsid w:val="001C6319"/>
    <w:rsid w:val="001C6432"/>
    <w:rsid w:val="001C6717"/>
    <w:rsid w:val="001C68D0"/>
    <w:rsid w:val="001C6BA9"/>
    <w:rsid w:val="001C6D66"/>
    <w:rsid w:val="001C6DAB"/>
    <w:rsid w:val="001C7213"/>
    <w:rsid w:val="001C74F4"/>
    <w:rsid w:val="001C75B1"/>
    <w:rsid w:val="001D0D71"/>
    <w:rsid w:val="001D10EF"/>
    <w:rsid w:val="001D11E3"/>
    <w:rsid w:val="001D1870"/>
    <w:rsid w:val="001D18C0"/>
    <w:rsid w:val="001D1B1E"/>
    <w:rsid w:val="001D1B8B"/>
    <w:rsid w:val="001D1D03"/>
    <w:rsid w:val="001D204C"/>
    <w:rsid w:val="001D2219"/>
    <w:rsid w:val="001D24C1"/>
    <w:rsid w:val="001D28FD"/>
    <w:rsid w:val="001D2A1F"/>
    <w:rsid w:val="001D2F33"/>
    <w:rsid w:val="001D33A8"/>
    <w:rsid w:val="001D33AC"/>
    <w:rsid w:val="001D34BE"/>
    <w:rsid w:val="001D3747"/>
    <w:rsid w:val="001D3875"/>
    <w:rsid w:val="001D4719"/>
    <w:rsid w:val="001D47B6"/>
    <w:rsid w:val="001D4929"/>
    <w:rsid w:val="001D4B38"/>
    <w:rsid w:val="001D530B"/>
    <w:rsid w:val="001D536B"/>
    <w:rsid w:val="001D5760"/>
    <w:rsid w:val="001D5840"/>
    <w:rsid w:val="001D58B8"/>
    <w:rsid w:val="001D6449"/>
    <w:rsid w:val="001D690C"/>
    <w:rsid w:val="001D69B9"/>
    <w:rsid w:val="001D6C3C"/>
    <w:rsid w:val="001D6D2A"/>
    <w:rsid w:val="001D6FFF"/>
    <w:rsid w:val="001D7120"/>
    <w:rsid w:val="001D71AF"/>
    <w:rsid w:val="001D732C"/>
    <w:rsid w:val="001D7441"/>
    <w:rsid w:val="001D7696"/>
    <w:rsid w:val="001D77DD"/>
    <w:rsid w:val="001D798E"/>
    <w:rsid w:val="001D7BF4"/>
    <w:rsid w:val="001D7D2D"/>
    <w:rsid w:val="001D7EE8"/>
    <w:rsid w:val="001D7F26"/>
    <w:rsid w:val="001E0059"/>
    <w:rsid w:val="001E0172"/>
    <w:rsid w:val="001E01C3"/>
    <w:rsid w:val="001E06F5"/>
    <w:rsid w:val="001E0918"/>
    <w:rsid w:val="001E0954"/>
    <w:rsid w:val="001E0DC6"/>
    <w:rsid w:val="001E0EF5"/>
    <w:rsid w:val="001E1408"/>
    <w:rsid w:val="001E1681"/>
    <w:rsid w:val="001E197C"/>
    <w:rsid w:val="001E19AF"/>
    <w:rsid w:val="001E1E8C"/>
    <w:rsid w:val="001E215A"/>
    <w:rsid w:val="001E22D6"/>
    <w:rsid w:val="001E24F2"/>
    <w:rsid w:val="001E2712"/>
    <w:rsid w:val="001E281C"/>
    <w:rsid w:val="001E2D7C"/>
    <w:rsid w:val="001E2DAF"/>
    <w:rsid w:val="001E3156"/>
    <w:rsid w:val="001E35DF"/>
    <w:rsid w:val="001E37B2"/>
    <w:rsid w:val="001E3AC5"/>
    <w:rsid w:val="001E3B83"/>
    <w:rsid w:val="001E3C1E"/>
    <w:rsid w:val="001E3C76"/>
    <w:rsid w:val="001E3DEE"/>
    <w:rsid w:val="001E4055"/>
    <w:rsid w:val="001E41F7"/>
    <w:rsid w:val="001E464C"/>
    <w:rsid w:val="001E497F"/>
    <w:rsid w:val="001E4DEE"/>
    <w:rsid w:val="001E4E14"/>
    <w:rsid w:val="001E4E84"/>
    <w:rsid w:val="001E50B4"/>
    <w:rsid w:val="001E51E9"/>
    <w:rsid w:val="001E5350"/>
    <w:rsid w:val="001E5493"/>
    <w:rsid w:val="001E57B4"/>
    <w:rsid w:val="001E58D6"/>
    <w:rsid w:val="001E5C0D"/>
    <w:rsid w:val="001E5C19"/>
    <w:rsid w:val="001E5E30"/>
    <w:rsid w:val="001E5EF4"/>
    <w:rsid w:val="001E61F0"/>
    <w:rsid w:val="001E6304"/>
    <w:rsid w:val="001E6443"/>
    <w:rsid w:val="001E67B6"/>
    <w:rsid w:val="001E67CE"/>
    <w:rsid w:val="001E67F8"/>
    <w:rsid w:val="001E68A6"/>
    <w:rsid w:val="001E7103"/>
    <w:rsid w:val="001E714E"/>
    <w:rsid w:val="001E7405"/>
    <w:rsid w:val="001E752C"/>
    <w:rsid w:val="001E7749"/>
    <w:rsid w:val="001E78DD"/>
    <w:rsid w:val="001E7933"/>
    <w:rsid w:val="001E7A4C"/>
    <w:rsid w:val="001F0056"/>
    <w:rsid w:val="001F07EF"/>
    <w:rsid w:val="001F0B26"/>
    <w:rsid w:val="001F0D1C"/>
    <w:rsid w:val="001F0F68"/>
    <w:rsid w:val="001F167A"/>
    <w:rsid w:val="001F1A8C"/>
    <w:rsid w:val="001F1B3A"/>
    <w:rsid w:val="001F1F85"/>
    <w:rsid w:val="001F2005"/>
    <w:rsid w:val="001F2277"/>
    <w:rsid w:val="001F291C"/>
    <w:rsid w:val="001F2A8E"/>
    <w:rsid w:val="001F3311"/>
    <w:rsid w:val="001F3376"/>
    <w:rsid w:val="001F35F1"/>
    <w:rsid w:val="001F3896"/>
    <w:rsid w:val="001F395B"/>
    <w:rsid w:val="001F3966"/>
    <w:rsid w:val="001F3B18"/>
    <w:rsid w:val="001F3E1F"/>
    <w:rsid w:val="001F412F"/>
    <w:rsid w:val="001F41B7"/>
    <w:rsid w:val="001F44F6"/>
    <w:rsid w:val="001F46E2"/>
    <w:rsid w:val="001F490A"/>
    <w:rsid w:val="001F4A9B"/>
    <w:rsid w:val="001F55F8"/>
    <w:rsid w:val="001F5B5D"/>
    <w:rsid w:val="001F64B6"/>
    <w:rsid w:val="001F64BA"/>
    <w:rsid w:val="001F68D0"/>
    <w:rsid w:val="001F6D31"/>
    <w:rsid w:val="001F6DA2"/>
    <w:rsid w:val="001F6DB4"/>
    <w:rsid w:val="001F70CC"/>
    <w:rsid w:val="001F75ED"/>
    <w:rsid w:val="001F75FC"/>
    <w:rsid w:val="001F7926"/>
    <w:rsid w:val="001F7BB1"/>
    <w:rsid w:val="001F7D7B"/>
    <w:rsid w:val="001F7EB5"/>
    <w:rsid w:val="001F7F05"/>
    <w:rsid w:val="0020001E"/>
    <w:rsid w:val="00200297"/>
    <w:rsid w:val="00200303"/>
    <w:rsid w:val="002005EC"/>
    <w:rsid w:val="00200900"/>
    <w:rsid w:val="00200AD7"/>
    <w:rsid w:val="00200D49"/>
    <w:rsid w:val="00200EC5"/>
    <w:rsid w:val="00200F3F"/>
    <w:rsid w:val="00200F50"/>
    <w:rsid w:val="00200F6D"/>
    <w:rsid w:val="002011FB"/>
    <w:rsid w:val="00201321"/>
    <w:rsid w:val="002016AA"/>
    <w:rsid w:val="00201982"/>
    <w:rsid w:val="0020198A"/>
    <w:rsid w:val="002019F5"/>
    <w:rsid w:val="00201B8B"/>
    <w:rsid w:val="00201CC9"/>
    <w:rsid w:val="002021D8"/>
    <w:rsid w:val="002021E3"/>
    <w:rsid w:val="00202ED7"/>
    <w:rsid w:val="00203085"/>
    <w:rsid w:val="002031A4"/>
    <w:rsid w:val="002034AB"/>
    <w:rsid w:val="0020353A"/>
    <w:rsid w:val="00203729"/>
    <w:rsid w:val="00203CE9"/>
    <w:rsid w:val="00203E58"/>
    <w:rsid w:val="00203EA8"/>
    <w:rsid w:val="0020420E"/>
    <w:rsid w:val="0020494A"/>
    <w:rsid w:val="00204ACA"/>
    <w:rsid w:val="00204C78"/>
    <w:rsid w:val="00204D85"/>
    <w:rsid w:val="00204F6C"/>
    <w:rsid w:val="00204F9D"/>
    <w:rsid w:val="002054B6"/>
    <w:rsid w:val="002056DC"/>
    <w:rsid w:val="00205762"/>
    <w:rsid w:val="00205830"/>
    <w:rsid w:val="00206028"/>
    <w:rsid w:val="002061D2"/>
    <w:rsid w:val="0020653D"/>
    <w:rsid w:val="0020655B"/>
    <w:rsid w:val="002065FA"/>
    <w:rsid w:val="00206DA8"/>
    <w:rsid w:val="00206F2F"/>
    <w:rsid w:val="00207084"/>
    <w:rsid w:val="002070C3"/>
    <w:rsid w:val="00207398"/>
    <w:rsid w:val="00207776"/>
    <w:rsid w:val="0020798B"/>
    <w:rsid w:val="00207F1D"/>
    <w:rsid w:val="00210094"/>
    <w:rsid w:val="002100A9"/>
    <w:rsid w:val="002101DA"/>
    <w:rsid w:val="0021022E"/>
    <w:rsid w:val="002104A3"/>
    <w:rsid w:val="00210DE4"/>
    <w:rsid w:val="00211609"/>
    <w:rsid w:val="00211790"/>
    <w:rsid w:val="00211C73"/>
    <w:rsid w:val="00211CCF"/>
    <w:rsid w:val="00212093"/>
    <w:rsid w:val="002124A6"/>
    <w:rsid w:val="00212520"/>
    <w:rsid w:val="00212889"/>
    <w:rsid w:val="00212913"/>
    <w:rsid w:val="00212C94"/>
    <w:rsid w:val="00212DD4"/>
    <w:rsid w:val="00212F33"/>
    <w:rsid w:val="00213275"/>
    <w:rsid w:val="00213307"/>
    <w:rsid w:val="002134F5"/>
    <w:rsid w:val="00213527"/>
    <w:rsid w:val="002136E4"/>
    <w:rsid w:val="00213AAB"/>
    <w:rsid w:val="00213CAB"/>
    <w:rsid w:val="00213CB0"/>
    <w:rsid w:val="00213D0A"/>
    <w:rsid w:val="00213F0A"/>
    <w:rsid w:val="0021406F"/>
    <w:rsid w:val="002142B2"/>
    <w:rsid w:val="00214796"/>
    <w:rsid w:val="002148C4"/>
    <w:rsid w:val="00214BDD"/>
    <w:rsid w:val="00214D07"/>
    <w:rsid w:val="00214F01"/>
    <w:rsid w:val="0021532C"/>
    <w:rsid w:val="0021585F"/>
    <w:rsid w:val="00215886"/>
    <w:rsid w:val="00215D05"/>
    <w:rsid w:val="00215E61"/>
    <w:rsid w:val="00215EC0"/>
    <w:rsid w:val="00215F87"/>
    <w:rsid w:val="002161D1"/>
    <w:rsid w:val="00216518"/>
    <w:rsid w:val="0021659E"/>
    <w:rsid w:val="002168CA"/>
    <w:rsid w:val="00216C10"/>
    <w:rsid w:val="0021737D"/>
    <w:rsid w:val="00217913"/>
    <w:rsid w:val="00217A15"/>
    <w:rsid w:val="00217A5B"/>
    <w:rsid w:val="00217B13"/>
    <w:rsid w:val="00217D95"/>
    <w:rsid w:val="00217EE1"/>
    <w:rsid w:val="00220633"/>
    <w:rsid w:val="002208F7"/>
    <w:rsid w:val="00220A53"/>
    <w:rsid w:val="00220BD7"/>
    <w:rsid w:val="00220C51"/>
    <w:rsid w:val="00220DCA"/>
    <w:rsid w:val="0022102D"/>
    <w:rsid w:val="002210DD"/>
    <w:rsid w:val="0022123E"/>
    <w:rsid w:val="002214CA"/>
    <w:rsid w:val="00221534"/>
    <w:rsid w:val="00221624"/>
    <w:rsid w:val="002218F3"/>
    <w:rsid w:val="00221DF7"/>
    <w:rsid w:val="00222068"/>
    <w:rsid w:val="0022222A"/>
    <w:rsid w:val="002222DB"/>
    <w:rsid w:val="00222866"/>
    <w:rsid w:val="0022291F"/>
    <w:rsid w:val="00222EA8"/>
    <w:rsid w:val="00222EBF"/>
    <w:rsid w:val="002232B6"/>
    <w:rsid w:val="00223589"/>
    <w:rsid w:val="00223857"/>
    <w:rsid w:val="002239FB"/>
    <w:rsid w:val="00223A4D"/>
    <w:rsid w:val="00223B2B"/>
    <w:rsid w:val="00223C45"/>
    <w:rsid w:val="002243B3"/>
    <w:rsid w:val="002245B5"/>
    <w:rsid w:val="0022466E"/>
    <w:rsid w:val="00224743"/>
    <w:rsid w:val="00224796"/>
    <w:rsid w:val="00224BCC"/>
    <w:rsid w:val="00224D9A"/>
    <w:rsid w:val="00225393"/>
    <w:rsid w:val="00225A0E"/>
    <w:rsid w:val="00225E14"/>
    <w:rsid w:val="00225E48"/>
    <w:rsid w:val="00226007"/>
    <w:rsid w:val="002262CE"/>
    <w:rsid w:val="002265A3"/>
    <w:rsid w:val="00226602"/>
    <w:rsid w:val="002266D8"/>
    <w:rsid w:val="002266E2"/>
    <w:rsid w:val="00226816"/>
    <w:rsid w:val="00226FB4"/>
    <w:rsid w:val="00227289"/>
    <w:rsid w:val="002276F1"/>
    <w:rsid w:val="0022781E"/>
    <w:rsid w:val="00227AAA"/>
    <w:rsid w:val="00227AB1"/>
    <w:rsid w:val="00227C96"/>
    <w:rsid w:val="00227D6A"/>
    <w:rsid w:val="00230318"/>
    <w:rsid w:val="0023075A"/>
    <w:rsid w:val="002309FA"/>
    <w:rsid w:val="00230D1E"/>
    <w:rsid w:val="00231213"/>
    <w:rsid w:val="002315E6"/>
    <w:rsid w:val="0023165E"/>
    <w:rsid w:val="002318CD"/>
    <w:rsid w:val="00231C87"/>
    <w:rsid w:val="00231E77"/>
    <w:rsid w:val="00231FD3"/>
    <w:rsid w:val="00232C0C"/>
    <w:rsid w:val="00232CCA"/>
    <w:rsid w:val="00232D86"/>
    <w:rsid w:val="0023339F"/>
    <w:rsid w:val="0023352D"/>
    <w:rsid w:val="002336FF"/>
    <w:rsid w:val="00233846"/>
    <w:rsid w:val="00233B05"/>
    <w:rsid w:val="00233DD2"/>
    <w:rsid w:val="00233ECA"/>
    <w:rsid w:val="00233FCB"/>
    <w:rsid w:val="00234116"/>
    <w:rsid w:val="002343E5"/>
    <w:rsid w:val="002344DB"/>
    <w:rsid w:val="002344DD"/>
    <w:rsid w:val="00234602"/>
    <w:rsid w:val="00234AEF"/>
    <w:rsid w:val="00235087"/>
    <w:rsid w:val="00235544"/>
    <w:rsid w:val="00235B05"/>
    <w:rsid w:val="00235D2F"/>
    <w:rsid w:val="00235DCB"/>
    <w:rsid w:val="00235DD4"/>
    <w:rsid w:val="00235F28"/>
    <w:rsid w:val="002360DE"/>
    <w:rsid w:val="002362C0"/>
    <w:rsid w:val="00236BB7"/>
    <w:rsid w:val="00236CFC"/>
    <w:rsid w:val="00237677"/>
    <w:rsid w:val="002376EB"/>
    <w:rsid w:val="00237788"/>
    <w:rsid w:val="00237B93"/>
    <w:rsid w:val="00237D91"/>
    <w:rsid w:val="00237E50"/>
    <w:rsid w:val="00237FD8"/>
    <w:rsid w:val="00240098"/>
    <w:rsid w:val="00240AED"/>
    <w:rsid w:val="00240BC3"/>
    <w:rsid w:val="00240C62"/>
    <w:rsid w:val="00240D1F"/>
    <w:rsid w:val="00240DE3"/>
    <w:rsid w:val="00241047"/>
    <w:rsid w:val="002415D2"/>
    <w:rsid w:val="00241D9B"/>
    <w:rsid w:val="00241DA4"/>
    <w:rsid w:val="00241E4C"/>
    <w:rsid w:val="0024203D"/>
    <w:rsid w:val="0024251E"/>
    <w:rsid w:val="0024263C"/>
    <w:rsid w:val="002427F1"/>
    <w:rsid w:val="002429D6"/>
    <w:rsid w:val="00242CB0"/>
    <w:rsid w:val="00242E77"/>
    <w:rsid w:val="0024347C"/>
    <w:rsid w:val="0024348D"/>
    <w:rsid w:val="002435F1"/>
    <w:rsid w:val="00243600"/>
    <w:rsid w:val="002437AD"/>
    <w:rsid w:val="00243A6C"/>
    <w:rsid w:val="00243F2C"/>
    <w:rsid w:val="0024441F"/>
    <w:rsid w:val="002444BF"/>
    <w:rsid w:val="00244926"/>
    <w:rsid w:val="002449BF"/>
    <w:rsid w:val="00244B87"/>
    <w:rsid w:val="00244D5D"/>
    <w:rsid w:val="00244E6A"/>
    <w:rsid w:val="002452C0"/>
    <w:rsid w:val="002454E4"/>
    <w:rsid w:val="0024560B"/>
    <w:rsid w:val="0024580B"/>
    <w:rsid w:val="0024585D"/>
    <w:rsid w:val="00245A08"/>
    <w:rsid w:val="00245C11"/>
    <w:rsid w:val="00245E32"/>
    <w:rsid w:val="002460AE"/>
    <w:rsid w:val="002460D7"/>
    <w:rsid w:val="0024617C"/>
    <w:rsid w:val="00246C2F"/>
    <w:rsid w:val="00246C3C"/>
    <w:rsid w:val="00246C6D"/>
    <w:rsid w:val="00246EBC"/>
    <w:rsid w:val="00246FE8"/>
    <w:rsid w:val="0024724F"/>
    <w:rsid w:val="002474E6"/>
    <w:rsid w:val="0024764F"/>
    <w:rsid w:val="0024768D"/>
    <w:rsid w:val="002477D4"/>
    <w:rsid w:val="002479B5"/>
    <w:rsid w:val="0025008E"/>
    <w:rsid w:val="00250671"/>
    <w:rsid w:val="00250876"/>
    <w:rsid w:val="00250A1E"/>
    <w:rsid w:val="00250E0B"/>
    <w:rsid w:val="00250EEC"/>
    <w:rsid w:val="002515B3"/>
    <w:rsid w:val="00251697"/>
    <w:rsid w:val="002517EF"/>
    <w:rsid w:val="002519AD"/>
    <w:rsid w:val="00251C1A"/>
    <w:rsid w:val="002521E9"/>
    <w:rsid w:val="002524C9"/>
    <w:rsid w:val="00252664"/>
    <w:rsid w:val="00252857"/>
    <w:rsid w:val="00252924"/>
    <w:rsid w:val="00252F57"/>
    <w:rsid w:val="00253034"/>
    <w:rsid w:val="002531B5"/>
    <w:rsid w:val="0025359E"/>
    <w:rsid w:val="00253746"/>
    <w:rsid w:val="00253AA9"/>
    <w:rsid w:val="00253AD9"/>
    <w:rsid w:val="00253AF2"/>
    <w:rsid w:val="00253B98"/>
    <w:rsid w:val="00253E27"/>
    <w:rsid w:val="00254300"/>
    <w:rsid w:val="00254325"/>
    <w:rsid w:val="00254A33"/>
    <w:rsid w:val="00254A74"/>
    <w:rsid w:val="00254AC0"/>
    <w:rsid w:val="002552BE"/>
    <w:rsid w:val="00255322"/>
    <w:rsid w:val="0025540A"/>
    <w:rsid w:val="00255653"/>
    <w:rsid w:val="002556A2"/>
    <w:rsid w:val="002559B3"/>
    <w:rsid w:val="00255AC7"/>
    <w:rsid w:val="00255E48"/>
    <w:rsid w:val="00256160"/>
    <w:rsid w:val="002564A4"/>
    <w:rsid w:val="002564A9"/>
    <w:rsid w:val="0025671E"/>
    <w:rsid w:val="002567A7"/>
    <w:rsid w:val="002567C2"/>
    <w:rsid w:val="00256960"/>
    <w:rsid w:val="00256BE2"/>
    <w:rsid w:val="00256C1F"/>
    <w:rsid w:val="00256FD4"/>
    <w:rsid w:val="0025793B"/>
    <w:rsid w:val="00257B8C"/>
    <w:rsid w:val="00257FC2"/>
    <w:rsid w:val="00260613"/>
    <w:rsid w:val="002606A2"/>
    <w:rsid w:val="002606B5"/>
    <w:rsid w:val="00260B3B"/>
    <w:rsid w:val="00260B74"/>
    <w:rsid w:val="00260DD8"/>
    <w:rsid w:val="0026108F"/>
    <w:rsid w:val="002612D0"/>
    <w:rsid w:val="0026131C"/>
    <w:rsid w:val="00261530"/>
    <w:rsid w:val="00261C48"/>
    <w:rsid w:val="00261DEA"/>
    <w:rsid w:val="00261E06"/>
    <w:rsid w:val="00261EE7"/>
    <w:rsid w:val="00261EFE"/>
    <w:rsid w:val="00261F58"/>
    <w:rsid w:val="00262246"/>
    <w:rsid w:val="0026231E"/>
    <w:rsid w:val="0026235F"/>
    <w:rsid w:val="00262377"/>
    <w:rsid w:val="002623AA"/>
    <w:rsid w:val="002623DC"/>
    <w:rsid w:val="002628BD"/>
    <w:rsid w:val="00262966"/>
    <w:rsid w:val="0026296D"/>
    <w:rsid w:val="002629FF"/>
    <w:rsid w:val="00263021"/>
    <w:rsid w:val="0026304C"/>
    <w:rsid w:val="00263191"/>
    <w:rsid w:val="002631F0"/>
    <w:rsid w:val="002633F1"/>
    <w:rsid w:val="00263449"/>
    <w:rsid w:val="00263503"/>
    <w:rsid w:val="00263B5A"/>
    <w:rsid w:val="0026413E"/>
    <w:rsid w:val="0026439A"/>
    <w:rsid w:val="002646CF"/>
    <w:rsid w:val="002647A1"/>
    <w:rsid w:val="0026499C"/>
    <w:rsid w:val="00264CF4"/>
    <w:rsid w:val="00264EBB"/>
    <w:rsid w:val="00265110"/>
    <w:rsid w:val="0026577A"/>
    <w:rsid w:val="00265B9C"/>
    <w:rsid w:val="0026609C"/>
    <w:rsid w:val="002665E2"/>
    <w:rsid w:val="00266713"/>
    <w:rsid w:val="00266759"/>
    <w:rsid w:val="002668CD"/>
    <w:rsid w:val="0026703F"/>
    <w:rsid w:val="0026762F"/>
    <w:rsid w:val="00267648"/>
    <w:rsid w:val="0026774E"/>
    <w:rsid w:val="00267794"/>
    <w:rsid w:val="00267843"/>
    <w:rsid w:val="00267A77"/>
    <w:rsid w:val="00267A96"/>
    <w:rsid w:val="00267C88"/>
    <w:rsid w:val="00267D07"/>
    <w:rsid w:val="00267F21"/>
    <w:rsid w:val="00270068"/>
    <w:rsid w:val="00270412"/>
    <w:rsid w:val="00270A28"/>
    <w:rsid w:val="00270C08"/>
    <w:rsid w:val="00270C54"/>
    <w:rsid w:val="00270F25"/>
    <w:rsid w:val="00271078"/>
    <w:rsid w:val="002710DC"/>
    <w:rsid w:val="00271133"/>
    <w:rsid w:val="002715DE"/>
    <w:rsid w:val="002715F7"/>
    <w:rsid w:val="0027173A"/>
    <w:rsid w:val="00271749"/>
    <w:rsid w:val="00271A24"/>
    <w:rsid w:val="00271A3C"/>
    <w:rsid w:val="00271A71"/>
    <w:rsid w:val="00271C5D"/>
    <w:rsid w:val="00271FB8"/>
    <w:rsid w:val="00272589"/>
    <w:rsid w:val="00272D84"/>
    <w:rsid w:val="00272E4E"/>
    <w:rsid w:val="00272FD0"/>
    <w:rsid w:val="002731BC"/>
    <w:rsid w:val="0027390C"/>
    <w:rsid w:val="00273C18"/>
    <w:rsid w:val="00273C1C"/>
    <w:rsid w:val="0027408A"/>
    <w:rsid w:val="002740BC"/>
    <w:rsid w:val="002740D4"/>
    <w:rsid w:val="00274118"/>
    <w:rsid w:val="0027427B"/>
    <w:rsid w:val="0027465A"/>
    <w:rsid w:val="002748EB"/>
    <w:rsid w:val="00274A4A"/>
    <w:rsid w:val="00274EDD"/>
    <w:rsid w:val="00274F90"/>
    <w:rsid w:val="00275001"/>
    <w:rsid w:val="00275240"/>
    <w:rsid w:val="0027532E"/>
    <w:rsid w:val="00275DD1"/>
    <w:rsid w:val="002761C8"/>
    <w:rsid w:val="0027626C"/>
    <w:rsid w:val="00276829"/>
    <w:rsid w:val="002768E2"/>
    <w:rsid w:val="00276CB8"/>
    <w:rsid w:val="00276D62"/>
    <w:rsid w:val="00276D9A"/>
    <w:rsid w:val="00277389"/>
    <w:rsid w:val="00277658"/>
    <w:rsid w:val="0027766A"/>
    <w:rsid w:val="00277704"/>
    <w:rsid w:val="00277791"/>
    <w:rsid w:val="00277877"/>
    <w:rsid w:val="002778D1"/>
    <w:rsid w:val="00277BD6"/>
    <w:rsid w:val="00277EFC"/>
    <w:rsid w:val="00277F64"/>
    <w:rsid w:val="00277F69"/>
    <w:rsid w:val="00280483"/>
    <w:rsid w:val="00280591"/>
    <w:rsid w:val="002805F6"/>
    <w:rsid w:val="0028079B"/>
    <w:rsid w:val="0028080F"/>
    <w:rsid w:val="0028086C"/>
    <w:rsid w:val="0028093E"/>
    <w:rsid w:val="00280A87"/>
    <w:rsid w:val="00280BEC"/>
    <w:rsid w:val="0028118B"/>
    <w:rsid w:val="00281375"/>
    <w:rsid w:val="002813D6"/>
    <w:rsid w:val="002814FE"/>
    <w:rsid w:val="00281682"/>
    <w:rsid w:val="00281CAA"/>
    <w:rsid w:val="00281CEA"/>
    <w:rsid w:val="00281EFA"/>
    <w:rsid w:val="00282169"/>
    <w:rsid w:val="00282313"/>
    <w:rsid w:val="00282455"/>
    <w:rsid w:val="0028247D"/>
    <w:rsid w:val="002826E0"/>
    <w:rsid w:val="0028283D"/>
    <w:rsid w:val="00282C0F"/>
    <w:rsid w:val="00282F8E"/>
    <w:rsid w:val="0028336B"/>
    <w:rsid w:val="00283679"/>
    <w:rsid w:val="002837D0"/>
    <w:rsid w:val="00283D09"/>
    <w:rsid w:val="00284124"/>
    <w:rsid w:val="002843F0"/>
    <w:rsid w:val="0028477D"/>
    <w:rsid w:val="00284A14"/>
    <w:rsid w:val="00284AB9"/>
    <w:rsid w:val="00284D73"/>
    <w:rsid w:val="00284E78"/>
    <w:rsid w:val="0028504B"/>
    <w:rsid w:val="002856D7"/>
    <w:rsid w:val="00285E67"/>
    <w:rsid w:val="00286540"/>
    <w:rsid w:val="0028656F"/>
    <w:rsid w:val="00286B63"/>
    <w:rsid w:val="00286BFE"/>
    <w:rsid w:val="00286CFA"/>
    <w:rsid w:val="00286D40"/>
    <w:rsid w:val="00286F4A"/>
    <w:rsid w:val="00286FC4"/>
    <w:rsid w:val="002870B1"/>
    <w:rsid w:val="00287138"/>
    <w:rsid w:val="002873E2"/>
    <w:rsid w:val="00287455"/>
    <w:rsid w:val="002874C2"/>
    <w:rsid w:val="002875BB"/>
    <w:rsid w:val="00287624"/>
    <w:rsid w:val="00287884"/>
    <w:rsid w:val="002878C0"/>
    <w:rsid w:val="00290015"/>
    <w:rsid w:val="002906CE"/>
    <w:rsid w:val="002907E8"/>
    <w:rsid w:val="00290D0C"/>
    <w:rsid w:val="00291971"/>
    <w:rsid w:val="00291C8B"/>
    <w:rsid w:val="00291CBA"/>
    <w:rsid w:val="00291D24"/>
    <w:rsid w:val="00291DE8"/>
    <w:rsid w:val="0029220E"/>
    <w:rsid w:val="002923BC"/>
    <w:rsid w:val="002924C8"/>
    <w:rsid w:val="002925D7"/>
    <w:rsid w:val="002927CB"/>
    <w:rsid w:val="00292878"/>
    <w:rsid w:val="00292965"/>
    <w:rsid w:val="00292A20"/>
    <w:rsid w:val="00292D09"/>
    <w:rsid w:val="00293126"/>
    <w:rsid w:val="0029320E"/>
    <w:rsid w:val="002932B6"/>
    <w:rsid w:val="00293341"/>
    <w:rsid w:val="0029340A"/>
    <w:rsid w:val="0029379A"/>
    <w:rsid w:val="0029390F"/>
    <w:rsid w:val="00293EEB"/>
    <w:rsid w:val="00294125"/>
    <w:rsid w:val="002941DD"/>
    <w:rsid w:val="00294423"/>
    <w:rsid w:val="0029448C"/>
    <w:rsid w:val="00294657"/>
    <w:rsid w:val="00294D51"/>
    <w:rsid w:val="00294F29"/>
    <w:rsid w:val="002951DC"/>
    <w:rsid w:val="002955EE"/>
    <w:rsid w:val="00295695"/>
    <w:rsid w:val="0029570B"/>
    <w:rsid w:val="00295757"/>
    <w:rsid w:val="002957BA"/>
    <w:rsid w:val="00295B91"/>
    <w:rsid w:val="00295CB2"/>
    <w:rsid w:val="00295ED9"/>
    <w:rsid w:val="00296015"/>
    <w:rsid w:val="002963C0"/>
    <w:rsid w:val="00296648"/>
    <w:rsid w:val="0029684A"/>
    <w:rsid w:val="00296F3B"/>
    <w:rsid w:val="002975CD"/>
    <w:rsid w:val="002977E2"/>
    <w:rsid w:val="00297A79"/>
    <w:rsid w:val="00297EEA"/>
    <w:rsid w:val="002A0204"/>
    <w:rsid w:val="002A0252"/>
    <w:rsid w:val="002A07A8"/>
    <w:rsid w:val="002A0BE6"/>
    <w:rsid w:val="002A0C78"/>
    <w:rsid w:val="002A0D5E"/>
    <w:rsid w:val="002A0DCF"/>
    <w:rsid w:val="002A124B"/>
    <w:rsid w:val="002A14E1"/>
    <w:rsid w:val="002A163A"/>
    <w:rsid w:val="002A17FF"/>
    <w:rsid w:val="002A19AB"/>
    <w:rsid w:val="002A1B93"/>
    <w:rsid w:val="002A1D1D"/>
    <w:rsid w:val="002A21E0"/>
    <w:rsid w:val="002A22A5"/>
    <w:rsid w:val="002A23B3"/>
    <w:rsid w:val="002A260F"/>
    <w:rsid w:val="002A283B"/>
    <w:rsid w:val="002A2B6C"/>
    <w:rsid w:val="002A2BA0"/>
    <w:rsid w:val="002A2DD2"/>
    <w:rsid w:val="002A307E"/>
    <w:rsid w:val="002A33F9"/>
    <w:rsid w:val="002A3A6A"/>
    <w:rsid w:val="002A3A92"/>
    <w:rsid w:val="002A3B2D"/>
    <w:rsid w:val="002A3E48"/>
    <w:rsid w:val="002A402B"/>
    <w:rsid w:val="002A40C0"/>
    <w:rsid w:val="002A4350"/>
    <w:rsid w:val="002A4691"/>
    <w:rsid w:val="002A4ADB"/>
    <w:rsid w:val="002A4CDF"/>
    <w:rsid w:val="002A542C"/>
    <w:rsid w:val="002A5443"/>
    <w:rsid w:val="002A56DC"/>
    <w:rsid w:val="002A5AC3"/>
    <w:rsid w:val="002A5AF4"/>
    <w:rsid w:val="002A5DFE"/>
    <w:rsid w:val="002A5EA4"/>
    <w:rsid w:val="002A62A8"/>
    <w:rsid w:val="002A6AB7"/>
    <w:rsid w:val="002A7140"/>
    <w:rsid w:val="002A71F3"/>
    <w:rsid w:val="002A71FB"/>
    <w:rsid w:val="002A7AA5"/>
    <w:rsid w:val="002A7BC0"/>
    <w:rsid w:val="002A7CD1"/>
    <w:rsid w:val="002A7F18"/>
    <w:rsid w:val="002A7F2C"/>
    <w:rsid w:val="002A7FE3"/>
    <w:rsid w:val="002B0151"/>
    <w:rsid w:val="002B084C"/>
    <w:rsid w:val="002B0949"/>
    <w:rsid w:val="002B09E2"/>
    <w:rsid w:val="002B0A52"/>
    <w:rsid w:val="002B0C8E"/>
    <w:rsid w:val="002B0E23"/>
    <w:rsid w:val="002B11F8"/>
    <w:rsid w:val="002B13E8"/>
    <w:rsid w:val="002B1613"/>
    <w:rsid w:val="002B1733"/>
    <w:rsid w:val="002B1814"/>
    <w:rsid w:val="002B18F7"/>
    <w:rsid w:val="002B197A"/>
    <w:rsid w:val="002B1A50"/>
    <w:rsid w:val="002B1D30"/>
    <w:rsid w:val="002B2274"/>
    <w:rsid w:val="002B22E5"/>
    <w:rsid w:val="002B2561"/>
    <w:rsid w:val="002B2E53"/>
    <w:rsid w:val="002B2F68"/>
    <w:rsid w:val="002B30EF"/>
    <w:rsid w:val="002B31C6"/>
    <w:rsid w:val="002B32C3"/>
    <w:rsid w:val="002B383F"/>
    <w:rsid w:val="002B3F60"/>
    <w:rsid w:val="002B40B8"/>
    <w:rsid w:val="002B41C8"/>
    <w:rsid w:val="002B42ED"/>
    <w:rsid w:val="002B44F5"/>
    <w:rsid w:val="002B454B"/>
    <w:rsid w:val="002B4C02"/>
    <w:rsid w:val="002B548E"/>
    <w:rsid w:val="002B5497"/>
    <w:rsid w:val="002B55DE"/>
    <w:rsid w:val="002B56AA"/>
    <w:rsid w:val="002B5CD1"/>
    <w:rsid w:val="002B606D"/>
    <w:rsid w:val="002B6114"/>
    <w:rsid w:val="002B7025"/>
    <w:rsid w:val="002B739C"/>
    <w:rsid w:val="002B73A7"/>
    <w:rsid w:val="002B73CC"/>
    <w:rsid w:val="002B7B25"/>
    <w:rsid w:val="002B7BB5"/>
    <w:rsid w:val="002B7D8A"/>
    <w:rsid w:val="002B7E63"/>
    <w:rsid w:val="002B7FE4"/>
    <w:rsid w:val="002C02E8"/>
    <w:rsid w:val="002C031C"/>
    <w:rsid w:val="002C0788"/>
    <w:rsid w:val="002C078B"/>
    <w:rsid w:val="002C0B22"/>
    <w:rsid w:val="002C0B5A"/>
    <w:rsid w:val="002C0D71"/>
    <w:rsid w:val="002C0EA0"/>
    <w:rsid w:val="002C0F0B"/>
    <w:rsid w:val="002C1323"/>
    <w:rsid w:val="002C177C"/>
    <w:rsid w:val="002C1845"/>
    <w:rsid w:val="002C1999"/>
    <w:rsid w:val="002C1B24"/>
    <w:rsid w:val="002C1B58"/>
    <w:rsid w:val="002C1CDC"/>
    <w:rsid w:val="002C1DFC"/>
    <w:rsid w:val="002C1F51"/>
    <w:rsid w:val="002C225F"/>
    <w:rsid w:val="002C2333"/>
    <w:rsid w:val="002C2369"/>
    <w:rsid w:val="002C2399"/>
    <w:rsid w:val="002C2426"/>
    <w:rsid w:val="002C25A5"/>
    <w:rsid w:val="002C267B"/>
    <w:rsid w:val="002C26F2"/>
    <w:rsid w:val="002C2841"/>
    <w:rsid w:val="002C2AB0"/>
    <w:rsid w:val="002C3490"/>
    <w:rsid w:val="002C363D"/>
    <w:rsid w:val="002C3ADB"/>
    <w:rsid w:val="002C3AE7"/>
    <w:rsid w:val="002C42A1"/>
    <w:rsid w:val="002C48A5"/>
    <w:rsid w:val="002C48CF"/>
    <w:rsid w:val="002C49BB"/>
    <w:rsid w:val="002C4AB5"/>
    <w:rsid w:val="002C4B16"/>
    <w:rsid w:val="002C51EC"/>
    <w:rsid w:val="002C54E0"/>
    <w:rsid w:val="002C5698"/>
    <w:rsid w:val="002C5820"/>
    <w:rsid w:val="002C5CF1"/>
    <w:rsid w:val="002C5DDE"/>
    <w:rsid w:val="002C645C"/>
    <w:rsid w:val="002C67AC"/>
    <w:rsid w:val="002C69E9"/>
    <w:rsid w:val="002C6B53"/>
    <w:rsid w:val="002C6EBD"/>
    <w:rsid w:val="002C6EF3"/>
    <w:rsid w:val="002C71A5"/>
    <w:rsid w:val="002C7337"/>
    <w:rsid w:val="002C77C1"/>
    <w:rsid w:val="002C792F"/>
    <w:rsid w:val="002C7A70"/>
    <w:rsid w:val="002C7AB5"/>
    <w:rsid w:val="002C7C8C"/>
    <w:rsid w:val="002D043D"/>
    <w:rsid w:val="002D046C"/>
    <w:rsid w:val="002D0663"/>
    <w:rsid w:val="002D076D"/>
    <w:rsid w:val="002D0B9C"/>
    <w:rsid w:val="002D0BC8"/>
    <w:rsid w:val="002D14F4"/>
    <w:rsid w:val="002D16F5"/>
    <w:rsid w:val="002D276D"/>
    <w:rsid w:val="002D283F"/>
    <w:rsid w:val="002D2A2B"/>
    <w:rsid w:val="002D2B8B"/>
    <w:rsid w:val="002D2DCE"/>
    <w:rsid w:val="002D2E2D"/>
    <w:rsid w:val="002D2EA8"/>
    <w:rsid w:val="002D2F27"/>
    <w:rsid w:val="002D3052"/>
    <w:rsid w:val="002D32A1"/>
    <w:rsid w:val="002D34FF"/>
    <w:rsid w:val="002D359A"/>
    <w:rsid w:val="002D3616"/>
    <w:rsid w:val="002D37AD"/>
    <w:rsid w:val="002D37C7"/>
    <w:rsid w:val="002D3A29"/>
    <w:rsid w:val="002D3B22"/>
    <w:rsid w:val="002D3BEA"/>
    <w:rsid w:val="002D3C31"/>
    <w:rsid w:val="002D3C75"/>
    <w:rsid w:val="002D42A4"/>
    <w:rsid w:val="002D4355"/>
    <w:rsid w:val="002D449C"/>
    <w:rsid w:val="002D4618"/>
    <w:rsid w:val="002D4968"/>
    <w:rsid w:val="002D4B11"/>
    <w:rsid w:val="002D4CE3"/>
    <w:rsid w:val="002D5188"/>
    <w:rsid w:val="002D5485"/>
    <w:rsid w:val="002D5513"/>
    <w:rsid w:val="002D56F5"/>
    <w:rsid w:val="002D5763"/>
    <w:rsid w:val="002D580C"/>
    <w:rsid w:val="002D589B"/>
    <w:rsid w:val="002D59FE"/>
    <w:rsid w:val="002D5E7D"/>
    <w:rsid w:val="002D61C4"/>
    <w:rsid w:val="002D63EB"/>
    <w:rsid w:val="002D6505"/>
    <w:rsid w:val="002D6A10"/>
    <w:rsid w:val="002D70AB"/>
    <w:rsid w:val="002D70DE"/>
    <w:rsid w:val="002D7120"/>
    <w:rsid w:val="002D728B"/>
    <w:rsid w:val="002D7318"/>
    <w:rsid w:val="002D740A"/>
    <w:rsid w:val="002D761F"/>
    <w:rsid w:val="002D77A7"/>
    <w:rsid w:val="002D79B2"/>
    <w:rsid w:val="002D7C6B"/>
    <w:rsid w:val="002D7D92"/>
    <w:rsid w:val="002D7E1C"/>
    <w:rsid w:val="002D7F25"/>
    <w:rsid w:val="002E00DF"/>
    <w:rsid w:val="002E02C2"/>
    <w:rsid w:val="002E0393"/>
    <w:rsid w:val="002E0486"/>
    <w:rsid w:val="002E0515"/>
    <w:rsid w:val="002E0D95"/>
    <w:rsid w:val="002E104B"/>
    <w:rsid w:val="002E1284"/>
    <w:rsid w:val="002E1334"/>
    <w:rsid w:val="002E1381"/>
    <w:rsid w:val="002E13D3"/>
    <w:rsid w:val="002E15E8"/>
    <w:rsid w:val="002E1751"/>
    <w:rsid w:val="002E18A0"/>
    <w:rsid w:val="002E1BA2"/>
    <w:rsid w:val="002E2051"/>
    <w:rsid w:val="002E237F"/>
    <w:rsid w:val="002E257F"/>
    <w:rsid w:val="002E273B"/>
    <w:rsid w:val="002E2AD3"/>
    <w:rsid w:val="002E2F3E"/>
    <w:rsid w:val="002E2F7C"/>
    <w:rsid w:val="002E3687"/>
    <w:rsid w:val="002E39E7"/>
    <w:rsid w:val="002E3F05"/>
    <w:rsid w:val="002E44DB"/>
    <w:rsid w:val="002E4A51"/>
    <w:rsid w:val="002E4A95"/>
    <w:rsid w:val="002E4ABB"/>
    <w:rsid w:val="002E4AD1"/>
    <w:rsid w:val="002E4F0E"/>
    <w:rsid w:val="002E5658"/>
    <w:rsid w:val="002E5CD3"/>
    <w:rsid w:val="002E5E94"/>
    <w:rsid w:val="002E63D1"/>
    <w:rsid w:val="002E63FB"/>
    <w:rsid w:val="002E6759"/>
    <w:rsid w:val="002E6892"/>
    <w:rsid w:val="002E6FB8"/>
    <w:rsid w:val="002E70EC"/>
    <w:rsid w:val="002E76DB"/>
    <w:rsid w:val="002E7A95"/>
    <w:rsid w:val="002E7D16"/>
    <w:rsid w:val="002E7D37"/>
    <w:rsid w:val="002E7E15"/>
    <w:rsid w:val="002E7E77"/>
    <w:rsid w:val="002F0232"/>
    <w:rsid w:val="002F0370"/>
    <w:rsid w:val="002F0375"/>
    <w:rsid w:val="002F0A3B"/>
    <w:rsid w:val="002F12A2"/>
    <w:rsid w:val="002F1405"/>
    <w:rsid w:val="002F15BF"/>
    <w:rsid w:val="002F15EF"/>
    <w:rsid w:val="002F18FE"/>
    <w:rsid w:val="002F214B"/>
    <w:rsid w:val="002F21C9"/>
    <w:rsid w:val="002F2549"/>
    <w:rsid w:val="002F26C3"/>
    <w:rsid w:val="002F275C"/>
    <w:rsid w:val="002F2A1F"/>
    <w:rsid w:val="002F2AEB"/>
    <w:rsid w:val="002F32FB"/>
    <w:rsid w:val="002F33DA"/>
    <w:rsid w:val="002F351C"/>
    <w:rsid w:val="002F35DA"/>
    <w:rsid w:val="002F3723"/>
    <w:rsid w:val="002F387D"/>
    <w:rsid w:val="002F3B21"/>
    <w:rsid w:val="002F3C42"/>
    <w:rsid w:val="002F3F17"/>
    <w:rsid w:val="002F4137"/>
    <w:rsid w:val="002F42FF"/>
    <w:rsid w:val="002F43B3"/>
    <w:rsid w:val="002F4710"/>
    <w:rsid w:val="002F4804"/>
    <w:rsid w:val="002F4A5B"/>
    <w:rsid w:val="002F4CCB"/>
    <w:rsid w:val="002F4D2B"/>
    <w:rsid w:val="002F4E68"/>
    <w:rsid w:val="002F55D4"/>
    <w:rsid w:val="002F59DE"/>
    <w:rsid w:val="002F5E9C"/>
    <w:rsid w:val="002F666F"/>
    <w:rsid w:val="002F6857"/>
    <w:rsid w:val="002F733E"/>
    <w:rsid w:val="002F785A"/>
    <w:rsid w:val="003000C6"/>
    <w:rsid w:val="00300328"/>
    <w:rsid w:val="003003A6"/>
    <w:rsid w:val="00300661"/>
    <w:rsid w:val="003008D9"/>
    <w:rsid w:val="00300971"/>
    <w:rsid w:val="003009F7"/>
    <w:rsid w:val="00300D4D"/>
    <w:rsid w:val="00300F77"/>
    <w:rsid w:val="00301108"/>
    <w:rsid w:val="00301465"/>
    <w:rsid w:val="00301805"/>
    <w:rsid w:val="00301894"/>
    <w:rsid w:val="003019EA"/>
    <w:rsid w:val="00301C9E"/>
    <w:rsid w:val="00301EBC"/>
    <w:rsid w:val="00302B23"/>
    <w:rsid w:val="00302B31"/>
    <w:rsid w:val="00302C4E"/>
    <w:rsid w:val="0030386E"/>
    <w:rsid w:val="00303CA6"/>
    <w:rsid w:val="00303EE6"/>
    <w:rsid w:val="00304089"/>
    <w:rsid w:val="0030442F"/>
    <w:rsid w:val="00304525"/>
    <w:rsid w:val="003047AF"/>
    <w:rsid w:val="00304927"/>
    <w:rsid w:val="00304A3E"/>
    <w:rsid w:val="00304EBA"/>
    <w:rsid w:val="00304F0C"/>
    <w:rsid w:val="00304FF2"/>
    <w:rsid w:val="00305440"/>
    <w:rsid w:val="0030601E"/>
    <w:rsid w:val="003061F3"/>
    <w:rsid w:val="003063A8"/>
    <w:rsid w:val="00306A0A"/>
    <w:rsid w:val="00307594"/>
    <w:rsid w:val="00307AA2"/>
    <w:rsid w:val="00307B13"/>
    <w:rsid w:val="00307CC9"/>
    <w:rsid w:val="0031002D"/>
    <w:rsid w:val="00310058"/>
    <w:rsid w:val="003102E3"/>
    <w:rsid w:val="003103CE"/>
    <w:rsid w:val="00310471"/>
    <w:rsid w:val="003109D9"/>
    <w:rsid w:val="00310BFF"/>
    <w:rsid w:val="00310F7A"/>
    <w:rsid w:val="00311010"/>
    <w:rsid w:val="003112FC"/>
    <w:rsid w:val="0031147C"/>
    <w:rsid w:val="0031197C"/>
    <w:rsid w:val="00311AA0"/>
    <w:rsid w:val="00312056"/>
    <w:rsid w:val="00312119"/>
    <w:rsid w:val="0031235C"/>
    <w:rsid w:val="003123BE"/>
    <w:rsid w:val="003124BA"/>
    <w:rsid w:val="003125AB"/>
    <w:rsid w:val="003125DC"/>
    <w:rsid w:val="0031265C"/>
    <w:rsid w:val="003129DD"/>
    <w:rsid w:val="00312A98"/>
    <w:rsid w:val="00312B9E"/>
    <w:rsid w:val="00312F5F"/>
    <w:rsid w:val="00313183"/>
    <w:rsid w:val="00313376"/>
    <w:rsid w:val="00313420"/>
    <w:rsid w:val="00313526"/>
    <w:rsid w:val="003135ED"/>
    <w:rsid w:val="003136F5"/>
    <w:rsid w:val="00313895"/>
    <w:rsid w:val="0031400C"/>
    <w:rsid w:val="003140BD"/>
    <w:rsid w:val="0031456E"/>
    <w:rsid w:val="00314BA8"/>
    <w:rsid w:val="00314DE5"/>
    <w:rsid w:val="00314E48"/>
    <w:rsid w:val="00315152"/>
    <w:rsid w:val="00315306"/>
    <w:rsid w:val="00315952"/>
    <w:rsid w:val="0031623E"/>
    <w:rsid w:val="003164E1"/>
    <w:rsid w:val="003165A2"/>
    <w:rsid w:val="00316C33"/>
    <w:rsid w:val="00317059"/>
    <w:rsid w:val="003176A8"/>
    <w:rsid w:val="003179B9"/>
    <w:rsid w:val="00317A0B"/>
    <w:rsid w:val="00317EC7"/>
    <w:rsid w:val="003203D1"/>
    <w:rsid w:val="00320842"/>
    <w:rsid w:val="00320F4A"/>
    <w:rsid w:val="003214CB"/>
    <w:rsid w:val="00321837"/>
    <w:rsid w:val="003218B6"/>
    <w:rsid w:val="00321BAE"/>
    <w:rsid w:val="00321DDD"/>
    <w:rsid w:val="0032221A"/>
    <w:rsid w:val="0032252A"/>
    <w:rsid w:val="0032289C"/>
    <w:rsid w:val="003228FE"/>
    <w:rsid w:val="0032295A"/>
    <w:rsid w:val="00322BD5"/>
    <w:rsid w:val="00322F5A"/>
    <w:rsid w:val="00323A99"/>
    <w:rsid w:val="00323AD4"/>
    <w:rsid w:val="00323B99"/>
    <w:rsid w:val="00323D09"/>
    <w:rsid w:val="00323EE3"/>
    <w:rsid w:val="00324276"/>
    <w:rsid w:val="00324367"/>
    <w:rsid w:val="0032472F"/>
    <w:rsid w:val="0032473D"/>
    <w:rsid w:val="00324A7E"/>
    <w:rsid w:val="00324CC6"/>
    <w:rsid w:val="003253FF"/>
    <w:rsid w:val="00325746"/>
    <w:rsid w:val="00325966"/>
    <w:rsid w:val="00326668"/>
    <w:rsid w:val="00326844"/>
    <w:rsid w:val="00326E74"/>
    <w:rsid w:val="003271AA"/>
    <w:rsid w:val="003274B7"/>
    <w:rsid w:val="003276F6"/>
    <w:rsid w:val="003277DD"/>
    <w:rsid w:val="00327E67"/>
    <w:rsid w:val="00327E93"/>
    <w:rsid w:val="003302B9"/>
    <w:rsid w:val="0033089F"/>
    <w:rsid w:val="003308E7"/>
    <w:rsid w:val="00330ABB"/>
    <w:rsid w:val="00330BE1"/>
    <w:rsid w:val="0033140E"/>
    <w:rsid w:val="003314E6"/>
    <w:rsid w:val="003318BF"/>
    <w:rsid w:val="003318F0"/>
    <w:rsid w:val="00331A05"/>
    <w:rsid w:val="00331AF8"/>
    <w:rsid w:val="00331F5D"/>
    <w:rsid w:val="00331FD4"/>
    <w:rsid w:val="003320A7"/>
    <w:rsid w:val="00332421"/>
    <w:rsid w:val="003327BF"/>
    <w:rsid w:val="0033289A"/>
    <w:rsid w:val="00332A0B"/>
    <w:rsid w:val="00332AAB"/>
    <w:rsid w:val="00332C8E"/>
    <w:rsid w:val="00332CE2"/>
    <w:rsid w:val="00333051"/>
    <w:rsid w:val="0033312B"/>
    <w:rsid w:val="00333636"/>
    <w:rsid w:val="00333772"/>
    <w:rsid w:val="0033383C"/>
    <w:rsid w:val="0033384E"/>
    <w:rsid w:val="003338AD"/>
    <w:rsid w:val="0033395F"/>
    <w:rsid w:val="00333FBD"/>
    <w:rsid w:val="00334388"/>
    <w:rsid w:val="003348EF"/>
    <w:rsid w:val="00334C2A"/>
    <w:rsid w:val="00334CBA"/>
    <w:rsid w:val="00334D8D"/>
    <w:rsid w:val="00334E5A"/>
    <w:rsid w:val="00334F3E"/>
    <w:rsid w:val="00335264"/>
    <w:rsid w:val="00335326"/>
    <w:rsid w:val="003353C3"/>
    <w:rsid w:val="0033540D"/>
    <w:rsid w:val="00335555"/>
    <w:rsid w:val="003355BA"/>
    <w:rsid w:val="003355C1"/>
    <w:rsid w:val="003355E8"/>
    <w:rsid w:val="0033574D"/>
    <w:rsid w:val="00335835"/>
    <w:rsid w:val="00335A49"/>
    <w:rsid w:val="00335A91"/>
    <w:rsid w:val="00335C0D"/>
    <w:rsid w:val="00335C4D"/>
    <w:rsid w:val="00335F19"/>
    <w:rsid w:val="003361EB"/>
    <w:rsid w:val="003363AA"/>
    <w:rsid w:val="003363D9"/>
    <w:rsid w:val="003367C4"/>
    <w:rsid w:val="00336901"/>
    <w:rsid w:val="0033716F"/>
    <w:rsid w:val="00337284"/>
    <w:rsid w:val="003372A0"/>
    <w:rsid w:val="00337336"/>
    <w:rsid w:val="00337489"/>
    <w:rsid w:val="003377D8"/>
    <w:rsid w:val="00337CE4"/>
    <w:rsid w:val="00337DC4"/>
    <w:rsid w:val="00337FD0"/>
    <w:rsid w:val="00337FDB"/>
    <w:rsid w:val="0034072F"/>
    <w:rsid w:val="003409BE"/>
    <w:rsid w:val="00340CA1"/>
    <w:rsid w:val="00340D89"/>
    <w:rsid w:val="00340EE1"/>
    <w:rsid w:val="003410D3"/>
    <w:rsid w:val="003413E6"/>
    <w:rsid w:val="00341631"/>
    <w:rsid w:val="00341AC4"/>
    <w:rsid w:val="00341C54"/>
    <w:rsid w:val="00341F30"/>
    <w:rsid w:val="00341F41"/>
    <w:rsid w:val="003420E8"/>
    <w:rsid w:val="00342355"/>
    <w:rsid w:val="00342531"/>
    <w:rsid w:val="00342651"/>
    <w:rsid w:val="00342810"/>
    <w:rsid w:val="00342836"/>
    <w:rsid w:val="00342887"/>
    <w:rsid w:val="00342E10"/>
    <w:rsid w:val="00343245"/>
    <w:rsid w:val="00343395"/>
    <w:rsid w:val="003435A1"/>
    <w:rsid w:val="003440C5"/>
    <w:rsid w:val="0034413A"/>
    <w:rsid w:val="003444C1"/>
    <w:rsid w:val="00344610"/>
    <w:rsid w:val="003448B9"/>
    <w:rsid w:val="003448F9"/>
    <w:rsid w:val="00344C3B"/>
    <w:rsid w:val="00345037"/>
    <w:rsid w:val="003454F9"/>
    <w:rsid w:val="00345923"/>
    <w:rsid w:val="00345986"/>
    <w:rsid w:val="00345B3D"/>
    <w:rsid w:val="00345E60"/>
    <w:rsid w:val="003460A2"/>
    <w:rsid w:val="003460F0"/>
    <w:rsid w:val="0034611C"/>
    <w:rsid w:val="00346136"/>
    <w:rsid w:val="00346673"/>
    <w:rsid w:val="00346E51"/>
    <w:rsid w:val="00347109"/>
    <w:rsid w:val="0034724F"/>
    <w:rsid w:val="00347352"/>
    <w:rsid w:val="0034736F"/>
    <w:rsid w:val="003475B0"/>
    <w:rsid w:val="00347891"/>
    <w:rsid w:val="00347C7B"/>
    <w:rsid w:val="0035052D"/>
    <w:rsid w:val="00350590"/>
    <w:rsid w:val="00351056"/>
    <w:rsid w:val="003511C5"/>
    <w:rsid w:val="00351266"/>
    <w:rsid w:val="0035133A"/>
    <w:rsid w:val="00351412"/>
    <w:rsid w:val="00351489"/>
    <w:rsid w:val="00351689"/>
    <w:rsid w:val="003517FE"/>
    <w:rsid w:val="00351AC3"/>
    <w:rsid w:val="00351D8D"/>
    <w:rsid w:val="00351F45"/>
    <w:rsid w:val="00352814"/>
    <w:rsid w:val="00352B06"/>
    <w:rsid w:val="00352B18"/>
    <w:rsid w:val="00352F4D"/>
    <w:rsid w:val="0035309E"/>
    <w:rsid w:val="003533B0"/>
    <w:rsid w:val="0035370A"/>
    <w:rsid w:val="00353A5F"/>
    <w:rsid w:val="00353C2C"/>
    <w:rsid w:val="00353D2B"/>
    <w:rsid w:val="00353F29"/>
    <w:rsid w:val="00354141"/>
    <w:rsid w:val="0035416E"/>
    <w:rsid w:val="003541D5"/>
    <w:rsid w:val="00354996"/>
    <w:rsid w:val="00354A8B"/>
    <w:rsid w:val="00354B48"/>
    <w:rsid w:val="00354D67"/>
    <w:rsid w:val="0035508C"/>
    <w:rsid w:val="0035512B"/>
    <w:rsid w:val="00355349"/>
    <w:rsid w:val="003554EF"/>
    <w:rsid w:val="00355675"/>
    <w:rsid w:val="00355866"/>
    <w:rsid w:val="003559CA"/>
    <w:rsid w:val="0035609B"/>
    <w:rsid w:val="00356121"/>
    <w:rsid w:val="003562A4"/>
    <w:rsid w:val="00356381"/>
    <w:rsid w:val="00356544"/>
    <w:rsid w:val="00356585"/>
    <w:rsid w:val="00356657"/>
    <w:rsid w:val="003567A3"/>
    <w:rsid w:val="003568A0"/>
    <w:rsid w:val="00356AA0"/>
    <w:rsid w:val="00356C70"/>
    <w:rsid w:val="00356DE5"/>
    <w:rsid w:val="003570A6"/>
    <w:rsid w:val="00357399"/>
    <w:rsid w:val="00357713"/>
    <w:rsid w:val="00357835"/>
    <w:rsid w:val="00357908"/>
    <w:rsid w:val="0035791B"/>
    <w:rsid w:val="003579D9"/>
    <w:rsid w:val="00357CDC"/>
    <w:rsid w:val="003601CE"/>
    <w:rsid w:val="00360244"/>
    <w:rsid w:val="0036049C"/>
    <w:rsid w:val="003606E7"/>
    <w:rsid w:val="00360781"/>
    <w:rsid w:val="003609DB"/>
    <w:rsid w:val="00360C01"/>
    <w:rsid w:val="00360D0A"/>
    <w:rsid w:val="00361C90"/>
    <w:rsid w:val="00361D9B"/>
    <w:rsid w:val="00361E43"/>
    <w:rsid w:val="00362187"/>
    <w:rsid w:val="003622B3"/>
    <w:rsid w:val="003622E7"/>
    <w:rsid w:val="003624A0"/>
    <w:rsid w:val="00362502"/>
    <w:rsid w:val="00362675"/>
    <w:rsid w:val="00362D3C"/>
    <w:rsid w:val="00362FF3"/>
    <w:rsid w:val="003630BB"/>
    <w:rsid w:val="00363289"/>
    <w:rsid w:val="00363440"/>
    <w:rsid w:val="003637FB"/>
    <w:rsid w:val="0036394A"/>
    <w:rsid w:val="0036395F"/>
    <w:rsid w:val="00363E50"/>
    <w:rsid w:val="00363EB1"/>
    <w:rsid w:val="00364217"/>
    <w:rsid w:val="00364676"/>
    <w:rsid w:val="00364AF2"/>
    <w:rsid w:val="00364C8D"/>
    <w:rsid w:val="0036506E"/>
    <w:rsid w:val="003651B0"/>
    <w:rsid w:val="00365300"/>
    <w:rsid w:val="00365837"/>
    <w:rsid w:val="00365E37"/>
    <w:rsid w:val="0036604E"/>
    <w:rsid w:val="0036621D"/>
    <w:rsid w:val="00366220"/>
    <w:rsid w:val="0036625B"/>
    <w:rsid w:val="00366344"/>
    <w:rsid w:val="00366461"/>
    <w:rsid w:val="0036666A"/>
    <w:rsid w:val="003667CA"/>
    <w:rsid w:val="00366836"/>
    <w:rsid w:val="003668D8"/>
    <w:rsid w:val="00366A2D"/>
    <w:rsid w:val="00366ADD"/>
    <w:rsid w:val="00366B8F"/>
    <w:rsid w:val="00366D74"/>
    <w:rsid w:val="00366EB4"/>
    <w:rsid w:val="00366EBC"/>
    <w:rsid w:val="003671E4"/>
    <w:rsid w:val="003672D0"/>
    <w:rsid w:val="003677BB"/>
    <w:rsid w:val="00367AAC"/>
    <w:rsid w:val="00367C56"/>
    <w:rsid w:val="00367EE9"/>
    <w:rsid w:val="003701D5"/>
    <w:rsid w:val="00370203"/>
    <w:rsid w:val="003709CD"/>
    <w:rsid w:val="003709D6"/>
    <w:rsid w:val="00370E86"/>
    <w:rsid w:val="0037109E"/>
    <w:rsid w:val="003711BA"/>
    <w:rsid w:val="00371545"/>
    <w:rsid w:val="00371751"/>
    <w:rsid w:val="003719B0"/>
    <w:rsid w:val="00371A6B"/>
    <w:rsid w:val="00371C1C"/>
    <w:rsid w:val="00371CB1"/>
    <w:rsid w:val="00372662"/>
    <w:rsid w:val="003727F1"/>
    <w:rsid w:val="00372A07"/>
    <w:rsid w:val="00372B1A"/>
    <w:rsid w:val="00372E69"/>
    <w:rsid w:val="0037352D"/>
    <w:rsid w:val="00373901"/>
    <w:rsid w:val="00373A26"/>
    <w:rsid w:val="0037408B"/>
    <w:rsid w:val="003740C3"/>
    <w:rsid w:val="0037418C"/>
    <w:rsid w:val="00374757"/>
    <w:rsid w:val="003747F5"/>
    <w:rsid w:val="00374CF1"/>
    <w:rsid w:val="00374DC8"/>
    <w:rsid w:val="0037524D"/>
    <w:rsid w:val="003753E5"/>
    <w:rsid w:val="00375589"/>
    <w:rsid w:val="00375742"/>
    <w:rsid w:val="0037579C"/>
    <w:rsid w:val="003758B6"/>
    <w:rsid w:val="00376054"/>
    <w:rsid w:val="003760B0"/>
    <w:rsid w:val="00376A5B"/>
    <w:rsid w:val="00376CE7"/>
    <w:rsid w:val="00376D76"/>
    <w:rsid w:val="0037722B"/>
    <w:rsid w:val="003773EE"/>
    <w:rsid w:val="00377493"/>
    <w:rsid w:val="00377494"/>
    <w:rsid w:val="003774B4"/>
    <w:rsid w:val="003775BE"/>
    <w:rsid w:val="00377717"/>
    <w:rsid w:val="0037794C"/>
    <w:rsid w:val="00377E9A"/>
    <w:rsid w:val="0038002D"/>
    <w:rsid w:val="00380054"/>
    <w:rsid w:val="00380080"/>
    <w:rsid w:val="00380098"/>
    <w:rsid w:val="00380224"/>
    <w:rsid w:val="00380817"/>
    <w:rsid w:val="003808B5"/>
    <w:rsid w:val="00380A04"/>
    <w:rsid w:val="00380DF0"/>
    <w:rsid w:val="00381121"/>
    <w:rsid w:val="00381169"/>
    <w:rsid w:val="00381317"/>
    <w:rsid w:val="00381336"/>
    <w:rsid w:val="0038135F"/>
    <w:rsid w:val="0038188C"/>
    <w:rsid w:val="00381B08"/>
    <w:rsid w:val="00381BCF"/>
    <w:rsid w:val="00381C27"/>
    <w:rsid w:val="00381E15"/>
    <w:rsid w:val="00381E9F"/>
    <w:rsid w:val="00382098"/>
    <w:rsid w:val="003822CF"/>
    <w:rsid w:val="0038247B"/>
    <w:rsid w:val="00382AF1"/>
    <w:rsid w:val="00382EBD"/>
    <w:rsid w:val="0038315F"/>
    <w:rsid w:val="00383187"/>
    <w:rsid w:val="00383377"/>
    <w:rsid w:val="0038345D"/>
    <w:rsid w:val="00383F45"/>
    <w:rsid w:val="0038405E"/>
    <w:rsid w:val="0038428F"/>
    <w:rsid w:val="003846A3"/>
    <w:rsid w:val="00384B31"/>
    <w:rsid w:val="00384C11"/>
    <w:rsid w:val="00384DD7"/>
    <w:rsid w:val="00384E44"/>
    <w:rsid w:val="003855E5"/>
    <w:rsid w:val="003857CE"/>
    <w:rsid w:val="003858FF"/>
    <w:rsid w:val="00385A04"/>
    <w:rsid w:val="00385F67"/>
    <w:rsid w:val="00386026"/>
    <w:rsid w:val="00386158"/>
    <w:rsid w:val="0038644D"/>
    <w:rsid w:val="00386842"/>
    <w:rsid w:val="00386B02"/>
    <w:rsid w:val="00386C2E"/>
    <w:rsid w:val="00386C93"/>
    <w:rsid w:val="003874CA"/>
    <w:rsid w:val="0038751B"/>
    <w:rsid w:val="00387946"/>
    <w:rsid w:val="00387AE6"/>
    <w:rsid w:val="00387CC3"/>
    <w:rsid w:val="00387F9E"/>
    <w:rsid w:val="00390087"/>
    <w:rsid w:val="0039029E"/>
    <w:rsid w:val="00390419"/>
    <w:rsid w:val="00390AE1"/>
    <w:rsid w:val="00390AFA"/>
    <w:rsid w:val="00390B45"/>
    <w:rsid w:val="00390ECD"/>
    <w:rsid w:val="0039107A"/>
    <w:rsid w:val="00391600"/>
    <w:rsid w:val="003916FD"/>
    <w:rsid w:val="003918B2"/>
    <w:rsid w:val="0039198F"/>
    <w:rsid w:val="00391A98"/>
    <w:rsid w:val="00391C1A"/>
    <w:rsid w:val="00391F79"/>
    <w:rsid w:val="0039247F"/>
    <w:rsid w:val="003924D8"/>
    <w:rsid w:val="0039269B"/>
    <w:rsid w:val="00393083"/>
    <w:rsid w:val="003930FD"/>
    <w:rsid w:val="003936C4"/>
    <w:rsid w:val="00393DB8"/>
    <w:rsid w:val="00393E70"/>
    <w:rsid w:val="003941BE"/>
    <w:rsid w:val="00394350"/>
    <w:rsid w:val="003946AF"/>
    <w:rsid w:val="0039477E"/>
    <w:rsid w:val="003947ED"/>
    <w:rsid w:val="00394892"/>
    <w:rsid w:val="00394D02"/>
    <w:rsid w:val="00395090"/>
    <w:rsid w:val="003952E0"/>
    <w:rsid w:val="003953BE"/>
    <w:rsid w:val="0039557A"/>
    <w:rsid w:val="00395942"/>
    <w:rsid w:val="0039598F"/>
    <w:rsid w:val="00395BD3"/>
    <w:rsid w:val="00395F08"/>
    <w:rsid w:val="00395F5E"/>
    <w:rsid w:val="003960D0"/>
    <w:rsid w:val="003960E3"/>
    <w:rsid w:val="003962B0"/>
    <w:rsid w:val="00396571"/>
    <w:rsid w:val="00396B4B"/>
    <w:rsid w:val="00397164"/>
    <w:rsid w:val="00397638"/>
    <w:rsid w:val="003977D6"/>
    <w:rsid w:val="00397CAD"/>
    <w:rsid w:val="003A006E"/>
    <w:rsid w:val="003A02D4"/>
    <w:rsid w:val="003A02F4"/>
    <w:rsid w:val="003A03B5"/>
    <w:rsid w:val="003A0622"/>
    <w:rsid w:val="003A0963"/>
    <w:rsid w:val="003A0A03"/>
    <w:rsid w:val="003A11F2"/>
    <w:rsid w:val="003A1375"/>
    <w:rsid w:val="003A1653"/>
    <w:rsid w:val="003A20B1"/>
    <w:rsid w:val="003A21B2"/>
    <w:rsid w:val="003A21CA"/>
    <w:rsid w:val="003A2421"/>
    <w:rsid w:val="003A24BD"/>
    <w:rsid w:val="003A25EC"/>
    <w:rsid w:val="003A2B8E"/>
    <w:rsid w:val="003A2CF8"/>
    <w:rsid w:val="003A2EAE"/>
    <w:rsid w:val="003A2F61"/>
    <w:rsid w:val="003A3411"/>
    <w:rsid w:val="003A36BF"/>
    <w:rsid w:val="003A384B"/>
    <w:rsid w:val="003A3A27"/>
    <w:rsid w:val="003A3A3F"/>
    <w:rsid w:val="003A3BEA"/>
    <w:rsid w:val="003A3CFF"/>
    <w:rsid w:val="003A4229"/>
    <w:rsid w:val="003A428B"/>
    <w:rsid w:val="003A428E"/>
    <w:rsid w:val="003A43A0"/>
    <w:rsid w:val="003A43B8"/>
    <w:rsid w:val="003A460E"/>
    <w:rsid w:val="003A49C1"/>
    <w:rsid w:val="003A4B9C"/>
    <w:rsid w:val="003A4D45"/>
    <w:rsid w:val="003A4DA2"/>
    <w:rsid w:val="003A4E02"/>
    <w:rsid w:val="003A5284"/>
    <w:rsid w:val="003A53F7"/>
    <w:rsid w:val="003A557A"/>
    <w:rsid w:val="003A56D4"/>
    <w:rsid w:val="003A5A2F"/>
    <w:rsid w:val="003A5B5D"/>
    <w:rsid w:val="003A5CF2"/>
    <w:rsid w:val="003A6463"/>
    <w:rsid w:val="003A663A"/>
    <w:rsid w:val="003A66C0"/>
    <w:rsid w:val="003A680B"/>
    <w:rsid w:val="003A6AF6"/>
    <w:rsid w:val="003A6B4F"/>
    <w:rsid w:val="003A6E32"/>
    <w:rsid w:val="003A6EAD"/>
    <w:rsid w:val="003A71A0"/>
    <w:rsid w:val="003A73EF"/>
    <w:rsid w:val="003A7A17"/>
    <w:rsid w:val="003A7CCC"/>
    <w:rsid w:val="003A7FCC"/>
    <w:rsid w:val="003B009A"/>
    <w:rsid w:val="003B01A3"/>
    <w:rsid w:val="003B04C3"/>
    <w:rsid w:val="003B076E"/>
    <w:rsid w:val="003B07D8"/>
    <w:rsid w:val="003B0A70"/>
    <w:rsid w:val="003B0B35"/>
    <w:rsid w:val="003B0E39"/>
    <w:rsid w:val="003B0F72"/>
    <w:rsid w:val="003B18A3"/>
    <w:rsid w:val="003B1B16"/>
    <w:rsid w:val="003B1BCE"/>
    <w:rsid w:val="003B245C"/>
    <w:rsid w:val="003B2624"/>
    <w:rsid w:val="003B2654"/>
    <w:rsid w:val="003B26AA"/>
    <w:rsid w:val="003B2961"/>
    <w:rsid w:val="003B2ABD"/>
    <w:rsid w:val="003B2C22"/>
    <w:rsid w:val="003B2D68"/>
    <w:rsid w:val="003B2F27"/>
    <w:rsid w:val="003B2FFC"/>
    <w:rsid w:val="003B3838"/>
    <w:rsid w:val="003B3A90"/>
    <w:rsid w:val="003B3AE2"/>
    <w:rsid w:val="003B3B45"/>
    <w:rsid w:val="003B3CB5"/>
    <w:rsid w:val="003B3F5E"/>
    <w:rsid w:val="003B40C5"/>
    <w:rsid w:val="003B41F0"/>
    <w:rsid w:val="003B4957"/>
    <w:rsid w:val="003B4B2F"/>
    <w:rsid w:val="003B4E24"/>
    <w:rsid w:val="003B508C"/>
    <w:rsid w:val="003B5636"/>
    <w:rsid w:val="003B565E"/>
    <w:rsid w:val="003B5A14"/>
    <w:rsid w:val="003B5A20"/>
    <w:rsid w:val="003B5CB0"/>
    <w:rsid w:val="003B5EE3"/>
    <w:rsid w:val="003B5F37"/>
    <w:rsid w:val="003B6056"/>
    <w:rsid w:val="003B6084"/>
    <w:rsid w:val="003B6429"/>
    <w:rsid w:val="003B6937"/>
    <w:rsid w:val="003B6BB7"/>
    <w:rsid w:val="003B6C7C"/>
    <w:rsid w:val="003B6E76"/>
    <w:rsid w:val="003B7092"/>
    <w:rsid w:val="003B7149"/>
    <w:rsid w:val="003B75DB"/>
    <w:rsid w:val="003B7600"/>
    <w:rsid w:val="003B77C2"/>
    <w:rsid w:val="003B7BED"/>
    <w:rsid w:val="003B7D18"/>
    <w:rsid w:val="003B7DD0"/>
    <w:rsid w:val="003C0216"/>
    <w:rsid w:val="003C03E7"/>
    <w:rsid w:val="003C04D9"/>
    <w:rsid w:val="003C04DE"/>
    <w:rsid w:val="003C079F"/>
    <w:rsid w:val="003C091C"/>
    <w:rsid w:val="003C0CF6"/>
    <w:rsid w:val="003C0CFD"/>
    <w:rsid w:val="003C0F14"/>
    <w:rsid w:val="003C10C9"/>
    <w:rsid w:val="003C12B2"/>
    <w:rsid w:val="003C13EB"/>
    <w:rsid w:val="003C1539"/>
    <w:rsid w:val="003C1553"/>
    <w:rsid w:val="003C1862"/>
    <w:rsid w:val="003C1924"/>
    <w:rsid w:val="003C19AC"/>
    <w:rsid w:val="003C1B60"/>
    <w:rsid w:val="003C1E3F"/>
    <w:rsid w:val="003C2074"/>
    <w:rsid w:val="003C2174"/>
    <w:rsid w:val="003C2300"/>
    <w:rsid w:val="003C24C0"/>
    <w:rsid w:val="003C280E"/>
    <w:rsid w:val="003C29B1"/>
    <w:rsid w:val="003C2B1A"/>
    <w:rsid w:val="003C2D14"/>
    <w:rsid w:val="003C2D2B"/>
    <w:rsid w:val="003C2E16"/>
    <w:rsid w:val="003C2ED1"/>
    <w:rsid w:val="003C2FD5"/>
    <w:rsid w:val="003C3328"/>
    <w:rsid w:val="003C3566"/>
    <w:rsid w:val="003C363F"/>
    <w:rsid w:val="003C3B96"/>
    <w:rsid w:val="003C3BDD"/>
    <w:rsid w:val="003C3C0E"/>
    <w:rsid w:val="003C3DDB"/>
    <w:rsid w:val="003C3E80"/>
    <w:rsid w:val="003C40F3"/>
    <w:rsid w:val="003C4173"/>
    <w:rsid w:val="003C4297"/>
    <w:rsid w:val="003C43B7"/>
    <w:rsid w:val="003C45C1"/>
    <w:rsid w:val="003C45FC"/>
    <w:rsid w:val="003C4622"/>
    <w:rsid w:val="003C47ED"/>
    <w:rsid w:val="003C4956"/>
    <w:rsid w:val="003C4959"/>
    <w:rsid w:val="003C4967"/>
    <w:rsid w:val="003C49FC"/>
    <w:rsid w:val="003C4B90"/>
    <w:rsid w:val="003C4D30"/>
    <w:rsid w:val="003C4EF6"/>
    <w:rsid w:val="003C515C"/>
    <w:rsid w:val="003C55AF"/>
    <w:rsid w:val="003C56F4"/>
    <w:rsid w:val="003C5C02"/>
    <w:rsid w:val="003C5D49"/>
    <w:rsid w:val="003C5E4C"/>
    <w:rsid w:val="003C6383"/>
    <w:rsid w:val="003C651C"/>
    <w:rsid w:val="003C651E"/>
    <w:rsid w:val="003C6858"/>
    <w:rsid w:val="003C6907"/>
    <w:rsid w:val="003C6CAF"/>
    <w:rsid w:val="003C702A"/>
    <w:rsid w:val="003C7096"/>
    <w:rsid w:val="003C7256"/>
    <w:rsid w:val="003C760D"/>
    <w:rsid w:val="003C7BA8"/>
    <w:rsid w:val="003C7D66"/>
    <w:rsid w:val="003C7F3E"/>
    <w:rsid w:val="003C7FB2"/>
    <w:rsid w:val="003C7FFC"/>
    <w:rsid w:val="003D0093"/>
    <w:rsid w:val="003D00B2"/>
    <w:rsid w:val="003D031F"/>
    <w:rsid w:val="003D046C"/>
    <w:rsid w:val="003D08F6"/>
    <w:rsid w:val="003D0AE5"/>
    <w:rsid w:val="003D0F27"/>
    <w:rsid w:val="003D1164"/>
    <w:rsid w:val="003D12C6"/>
    <w:rsid w:val="003D14BC"/>
    <w:rsid w:val="003D15AB"/>
    <w:rsid w:val="003D171B"/>
    <w:rsid w:val="003D173A"/>
    <w:rsid w:val="003D1762"/>
    <w:rsid w:val="003D1A1A"/>
    <w:rsid w:val="003D21E4"/>
    <w:rsid w:val="003D2418"/>
    <w:rsid w:val="003D25AA"/>
    <w:rsid w:val="003D293D"/>
    <w:rsid w:val="003D293F"/>
    <w:rsid w:val="003D29F4"/>
    <w:rsid w:val="003D2B93"/>
    <w:rsid w:val="003D2CC6"/>
    <w:rsid w:val="003D3343"/>
    <w:rsid w:val="003D335E"/>
    <w:rsid w:val="003D3710"/>
    <w:rsid w:val="003D3761"/>
    <w:rsid w:val="003D37CB"/>
    <w:rsid w:val="003D3B27"/>
    <w:rsid w:val="003D3F42"/>
    <w:rsid w:val="003D3FED"/>
    <w:rsid w:val="003D423D"/>
    <w:rsid w:val="003D43EF"/>
    <w:rsid w:val="003D45A5"/>
    <w:rsid w:val="003D4907"/>
    <w:rsid w:val="003D4B1B"/>
    <w:rsid w:val="003D4C09"/>
    <w:rsid w:val="003D5121"/>
    <w:rsid w:val="003D5148"/>
    <w:rsid w:val="003D5457"/>
    <w:rsid w:val="003D554A"/>
    <w:rsid w:val="003D5A14"/>
    <w:rsid w:val="003D5D90"/>
    <w:rsid w:val="003D5F2F"/>
    <w:rsid w:val="003D6009"/>
    <w:rsid w:val="003D6178"/>
    <w:rsid w:val="003D6BCE"/>
    <w:rsid w:val="003D6CC1"/>
    <w:rsid w:val="003D7020"/>
    <w:rsid w:val="003D7052"/>
    <w:rsid w:val="003D71FE"/>
    <w:rsid w:val="003D7206"/>
    <w:rsid w:val="003D73BF"/>
    <w:rsid w:val="003D7409"/>
    <w:rsid w:val="003D7A68"/>
    <w:rsid w:val="003D7A8E"/>
    <w:rsid w:val="003D7DB3"/>
    <w:rsid w:val="003E0136"/>
    <w:rsid w:val="003E02E2"/>
    <w:rsid w:val="003E0674"/>
    <w:rsid w:val="003E07A2"/>
    <w:rsid w:val="003E07D8"/>
    <w:rsid w:val="003E09E0"/>
    <w:rsid w:val="003E0B53"/>
    <w:rsid w:val="003E0CFD"/>
    <w:rsid w:val="003E0F20"/>
    <w:rsid w:val="003E11B0"/>
    <w:rsid w:val="003E13C2"/>
    <w:rsid w:val="003E1422"/>
    <w:rsid w:val="003E1798"/>
    <w:rsid w:val="003E1B98"/>
    <w:rsid w:val="003E1D21"/>
    <w:rsid w:val="003E1FC4"/>
    <w:rsid w:val="003E208C"/>
    <w:rsid w:val="003E22A7"/>
    <w:rsid w:val="003E240E"/>
    <w:rsid w:val="003E29AF"/>
    <w:rsid w:val="003E2ECD"/>
    <w:rsid w:val="003E30BC"/>
    <w:rsid w:val="003E32A2"/>
    <w:rsid w:val="003E337E"/>
    <w:rsid w:val="003E35FD"/>
    <w:rsid w:val="003E3719"/>
    <w:rsid w:val="003E3923"/>
    <w:rsid w:val="003E398A"/>
    <w:rsid w:val="003E39BF"/>
    <w:rsid w:val="003E3D58"/>
    <w:rsid w:val="003E3EE4"/>
    <w:rsid w:val="003E3FD4"/>
    <w:rsid w:val="003E4B96"/>
    <w:rsid w:val="003E4B9D"/>
    <w:rsid w:val="003E4BDF"/>
    <w:rsid w:val="003E4C2F"/>
    <w:rsid w:val="003E54F2"/>
    <w:rsid w:val="003E55B0"/>
    <w:rsid w:val="003E5706"/>
    <w:rsid w:val="003E5709"/>
    <w:rsid w:val="003E584C"/>
    <w:rsid w:val="003E59E2"/>
    <w:rsid w:val="003E5AC2"/>
    <w:rsid w:val="003E5FAA"/>
    <w:rsid w:val="003E63E5"/>
    <w:rsid w:val="003E664C"/>
    <w:rsid w:val="003E6719"/>
    <w:rsid w:val="003E690A"/>
    <w:rsid w:val="003E6912"/>
    <w:rsid w:val="003E69FC"/>
    <w:rsid w:val="003E7049"/>
    <w:rsid w:val="003E7062"/>
    <w:rsid w:val="003E71BC"/>
    <w:rsid w:val="003E72EC"/>
    <w:rsid w:val="003E7359"/>
    <w:rsid w:val="003E73F6"/>
    <w:rsid w:val="003E7503"/>
    <w:rsid w:val="003E7550"/>
    <w:rsid w:val="003E7613"/>
    <w:rsid w:val="003E7743"/>
    <w:rsid w:val="003E7893"/>
    <w:rsid w:val="003E7946"/>
    <w:rsid w:val="003E7988"/>
    <w:rsid w:val="003E799F"/>
    <w:rsid w:val="003E7ED2"/>
    <w:rsid w:val="003F0285"/>
    <w:rsid w:val="003F03B2"/>
    <w:rsid w:val="003F0404"/>
    <w:rsid w:val="003F041A"/>
    <w:rsid w:val="003F046E"/>
    <w:rsid w:val="003F04C7"/>
    <w:rsid w:val="003F0BA7"/>
    <w:rsid w:val="003F0D8D"/>
    <w:rsid w:val="003F0F19"/>
    <w:rsid w:val="003F1077"/>
    <w:rsid w:val="003F10BF"/>
    <w:rsid w:val="003F1544"/>
    <w:rsid w:val="003F162B"/>
    <w:rsid w:val="003F1BD2"/>
    <w:rsid w:val="003F1E1B"/>
    <w:rsid w:val="003F21D2"/>
    <w:rsid w:val="003F23FE"/>
    <w:rsid w:val="003F2545"/>
    <w:rsid w:val="003F2726"/>
    <w:rsid w:val="003F3013"/>
    <w:rsid w:val="003F308A"/>
    <w:rsid w:val="003F30A2"/>
    <w:rsid w:val="003F3498"/>
    <w:rsid w:val="003F34AC"/>
    <w:rsid w:val="003F3555"/>
    <w:rsid w:val="003F358A"/>
    <w:rsid w:val="003F3B1F"/>
    <w:rsid w:val="003F3C7E"/>
    <w:rsid w:val="003F3FD0"/>
    <w:rsid w:val="003F4507"/>
    <w:rsid w:val="003F4687"/>
    <w:rsid w:val="003F4758"/>
    <w:rsid w:val="003F4759"/>
    <w:rsid w:val="003F476B"/>
    <w:rsid w:val="003F47D1"/>
    <w:rsid w:val="003F47E7"/>
    <w:rsid w:val="003F4BAC"/>
    <w:rsid w:val="003F4BEA"/>
    <w:rsid w:val="003F4D5D"/>
    <w:rsid w:val="003F4E13"/>
    <w:rsid w:val="003F4F47"/>
    <w:rsid w:val="003F4F5C"/>
    <w:rsid w:val="003F578A"/>
    <w:rsid w:val="003F5B15"/>
    <w:rsid w:val="003F5BCF"/>
    <w:rsid w:val="003F6191"/>
    <w:rsid w:val="003F624F"/>
    <w:rsid w:val="003F64D8"/>
    <w:rsid w:val="003F683B"/>
    <w:rsid w:val="003F6BE0"/>
    <w:rsid w:val="003F6EDE"/>
    <w:rsid w:val="003F70D0"/>
    <w:rsid w:val="003F78AC"/>
    <w:rsid w:val="003F7F92"/>
    <w:rsid w:val="0040012A"/>
    <w:rsid w:val="004001D1"/>
    <w:rsid w:val="004005C8"/>
    <w:rsid w:val="00400828"/>
    <w:rsid w:val="004009EF"/>
    <w:rsid w:val="00400B54"/>
    <w:rsid w:val="00400B69"/>
    <w:rsid w:val="004010D7"/>
    <w:rsid w:val="004014FD"/>
    <w:rsid w:val="004015CA"/>
    <w:rsid w:val="004015CF"/>
    <w:rsid w:val="00401ABA"/>
    <w:rsid w:val="00401AE4"/>
    <w:rsid w:val="00401FBB"/>
    <w:rsid w:val="0040201D"/>
    <w:rsid w:val="004021F3"/>
    <w:rsid w:val="004025FD"/>
    <w:rsid w:val="0040275A"/>
    <w:rsid w:val="00402A0B"/>
    <w:rsid w:val="00402CDC"/>
    <w:rsid w:val="00403065"/>
    <w:rsid w:val="00403189"/>
    <w:rsid w:val="00403374"/>
    <w:rsid w:val="00403386"/>
    <w:rsid w:val="0040379C"/>
    <w:rsid w:val="0040380F"/>
    <w:rsid w:val="0040382E"/>
    <w:rsid w:val="004039E3"/>
    <w:rsid w:val="00403F0F"/>
    <w:rsid w:val="004041E8"/>
    <w:rsid w:val="0040423B"/>
    <w:rsid w:val="004043EE"/>
    <w:rsid w:val="00404528"/>
    <w:rsid w:val="00404543"/>
    <w:rsid w:val="00404FD8"/>
    <w:rsid w:val="0040507E"/>
    <w:rsid w:val="00405330"/>
    <w:rsid w:val="0040581D"/>
    <w:rsid w:val="004058CE"/>
    <w:rsid w:val="0040594A"/>
    <w:rsid w:val="004060C2"/>
    <w:rsid w:val="0040610F"/>
    <w:rsid w:val="004072AB"/>
    <w:rsid w:val="00407579"/>
    <w:rsid w:val="00407581"/>
    <w:rsid w:val="004079CA"/>
    <w:rsid w:val="00407C17"/>
    <w:rsid w:val="00407D6C"/>
    <w:rsid w:val="00407DB2"/>
    <w:rsid w:val="00407E2A"/>
    <w:rsid w:val="00410850"/>
    <w:rsid w:val="004109D1"/>
    <w:rsid w:val="00410D48"/>
    <w:rsid w:val="00410E59"/>
    <w:rsid w:val="0041101C"/>
    <w:rsid w:val="00411235"/>
    <w:rsid w:val="0041129A"/>
    <w:rsid w:val="004115B9"/>
    <w:rsid w:val="00411772"/>
    <w:rsid w:val="0041190E"/>
    <w:rsid w:val="00411970"/>
    <w:rsid w:val="004119D6"/>
    <w:rsid w:val="00412010"/>
    <w:rsid w:val="00412077"/>
    <w:rsid w:val="00412353"/>
    <w:rsid w:val="00412373"/>
    <w:rsid w:val="00412464"/>
    <w:rsid w:val="004127FB"/>
    <w:rsid w:val="00412AA4"/>
    <w:rsid w:val="00412BDE"/>
    <w:rsid w:val="00412E15"/>
    <w:rsid w:val="00413298"/>
    <w:rsid w:val="004132EE"/>
    <w:rsid w:val="004135D9"/>
    <w:rsid w:val="004135E3"/>
    <w:rsid w:val="004136B7"/>
    <w:rsid w:val="00413791"/>
    <w:rsid w:val="00413AC7"/>
    <w:rsid w:val="00413B1C"/>
    <w:rsid w:val="00413EC1"/>
    <w:rsid w:val="00414534"/>
    <w:rsid w:val="00414552"/>
    <w:rsid w:val="00414CFD"/>
    <w:rsid w:val="00414D4F"/>
    <w:rsid w:val="0041517C"/>
    <w:rsid w:val="00415222"/>
    <w:rsid w:val="00415303"/>
    <w:rsid w:val="00415362"/>
    <w:rsid w:val="00415AB3"/>
    <w:rsid w:val="00415D28"/>
    <w:rsid w:val="00416076"/>
    <w:rsid w:val="00416081"/>
    <w:rsid w:val="00416220"/>
    <w:rsid w:val="004165CC"/>
    <w:rsid w:val="004165D1"/>
    <w:rsid w:val="00416654"/>
    <w:rsid w:val="00416708"/>
    <w:rsid w:val="00416910"/>
    <w:rsid w:val="00416B27"/>
    <w:rsid w:val="00416C54"/>
    <w:rsid w:val="00416CA4"/>
    <w:rsid w:val="004170F5"/>
    <w:rsid w:val="00417632"/>
    <w:rsid w:val="0041767E"/>
    <w:rsid w:val="004178D3"/>
    <w:rsid w:val="0041795B"/>
    <w:rsid w:val="00417EE8"/>
    <w:rsid w:val="0042008E"/>
    <w:rsid w:val="0042021D"/>
    <w:rsid w:val="004203E6"/>
    <w:rsid w:val="004204C7"/>
    <w:rsid w:val="00420739"/>
    <w:rsid w:val="004208F7"/>
    <w:rsid w:val="00420A29"/>
    <w:rsid w:val="00420ACE"/>
    <w:rsid w:val="00420D08"/>
    <w:rsid w:val="00420DF9"/>
    <w:rsid w:val="0042187F"/>
    <w:rsid w:val="00421BF2"/>
    <w:rsid w:val="0042201D"/>
    <w:rsid w:val="004220AD"/>
    <w:rsid w:val="00422592"/>
    <w:rsid w:val="004226F6"/>
    <w:rsid w:val="004227BE"/>
    <w:rsid w:val="00422FEE"/>
    <w:rsid w:val="00423316"/>
    <w:rsid w:val="00423480"/>
    <w:rsid w:val="004238FE"/>
    <w:rsid w:val="00423CB3"/>
    <w:rsid w:val="00423E7B"/>
    <w:rsid w:val="00423FF9"/>
    <w:rsid w:val="004240C6"/>
    <w:rsid w:val="004241AF"/>
    <w:rsid w:val="00424260"/>
    <w:rsid w:val="00424383"/>
    <w:rsid w:val="004247D4"/>
    <w:rsid w:val="00424836"/>
    <w:rsid w:val="00424944"/>
    <w:rsid w:val="00424A4B"/>
    <w:rsid w:val="00424C12"/>
    <w:rsid w:val="00425337"/>
    <w:rsid w:val="004253B6"/>
    <w:rsid w:val="004254C6"/>
    <w:rsid w:val="00425751"/>
    <w:rsid w:val="00425837"/>
    <w:rsid w:val="00425CB3"/>
    <w:rsid w:val="00425CF1"/>
    <w:rsid w:val="004260B8"/>
    <w:rsid w:val="004260C0"/>
    <w:rsid w:val="00426783"/>
    <w:rsid w:val="004269AC"/>
    <w:rsid w:val="00426B76"/>
    <w:rsid w:val="00426BA4"/>
    <w:rsid w:val="00426BBF"/>
    <w:rsid w:val="00426D14"/>
    <w:rsid w:val="0042702A"/>
    <w:rsid w:val="004272DC"/>
    <w:rsid w:val="0042736A"/>
    <w:rsid w:val="004274A3"/>
    <w:rsid w:val="00427577"/>
    <w:rsid w:val="004277D6"/>
    <w:rsid w:val="0042782E"/>
    <w:rsid w:val="004278EC"/>
    <w:rsid w:val="004279CB"/>
    <w:rsid w:val="00427B1D"/>
    <w:rsid w:val="00427C7E"/>
    <w:rsid w:val="00427EE9"/>
    <w:rsid w:val="00427EFF"/>
    <w:rsid w:val="0043035E"/>
    <w:rsid w:val="0043054F"/>
    <w:rsid w:val="00430C05"/>
    <w:rsid w:val="00430D62"/>
    <w:rsid w:val="0043179E"/>
    <w:rsid w:val="00431937"/>
    <w:rsid w:val="00431C72"/>
    <w:rsid w:val="00431E24"/>
    <w:rsid w:val="00432127"/>
    <w:rsid w:val="004324FE"/>
    <w:rsid w:val="00432718"/>
    <w:rsid w:val="00432A78"/>
    <w:rsid w:val="00432BDB"/>
    <w:rsid w:val="00432D2D"/>
    <w:rsid w:val="00432E4D"/>
    <w:rsid w:val="00432ED6"/>
    <w:rsid w:val="00433085"/>
    <w:rsid w:val="004331ED"/>
    <w:rsid w:val="004332C2"/>
    <w:rsid w:val="00433327"/>
    <w:rsid w:val="00433A47"/>
    <w:rsid w:val="00433F1D"/>
    <w:rsid w:val="004342E7"/>
    <w:rsid w:val="00434486"/>
    <w:rsid w:val="00434768"/>
    <w:rsid w:val="00434780"/>
    <w:rsid w:val="00434F3A"/>
    <w:rsid w:val="004352F0"/>
    <w:rsid w:val="00435462"/>
    <w:rsid w:val="004355C8"/>
    <w:rsid w:val="00435631"/>
    <w:rsid w:val="0043598F"/>
    <w:rsid w:val="004359FF"/>
    <w:rsid w:val="00435AA5"/>
    <w:rsid w:val="00435B56"/>
    <w:rsid w:val="00435D49"/>
    <w:rsid w:val="00435E6C"/>
    <w:rsid w:val="00435FA8"/>
    <w:rsid w:val="004363C1"/>
    <w:rsid w:val="00436493"/>
    <w:rsid w:val="004364FF"/>
    <w:rsid w:val="00436A33"/>
    <w:rsid w:val="0043710C"/>
    <w:rsid w:val="00437470"/>
    <w:rsid w:val="0043786C"/>
    <w:rsid w:val="00437A14"/>
    <w:rsid w:val="00437A27"/>
    <w:rsid w:val="00437CC7"/>
    <w:rsid w:val="00437D63"/>
    <w:rsid w:val="004402A9"/>
    <w:rsid w:val="004402F2"/>
    <w:rsid w:val="00440359"/>
    <w:rsid w:val="0044035F"/>
    <w:rsid w:val="00440401"/>
    <w:rsid w:val="004404DA"/>
    <w:rsid w:val="00440C5A"/>
    <w:rsid w:val="00440EC8"/>
    <w:rsid w:val="00440FA6"/>
    <w:rsid w:val="004413F4"/>
    <w:rsid w:val="004414F7"/>
    <w:rsid w:val="004417DE"/>
    <w:rsid w:val="004422B3"/>
    <w:rsid w:val="0044234A"/>
    <w:rsid w:val="004426CA"/>
    <w:rsid w:val="004429ED"/>
    <w:rsid w:val="00442C81"/>
    <w:rsid w:val="004437AA"/>
    <w:rsid w:val="00443B56"/>
    <w:rsid w:val="00443CE5"/>
    <w:rsid w:val="00443E88"/>
    <w:rsid w:val="00443FB4"/>
    <w:rsid w:val="0044416B"/>
    <w:rsid w:val="0044427E"/>
    <w:rsid w:val="004443D7"/>
    <w:rsid w:val="0044458D"/>
    <w:rsid w:val="004446B4"/>
    <w:rsid w:val="004447B5"/>
    <w:rsid w:val="00444878"/>
    <w:rsid w:val="00444A13"/>
    <w:rsid w:val="00444C8D"/>
    <w:rsid w:val="00444CCA"/>
    <w:rsid w:val="004453AF"/>
    <w:rsid w:val="004454A4"/>
    <w:rsid w:val="004455F7"/>
    <w:rsid w:val="004456E1"/>
    <w:rsid w:val="004456F3"/>
    <w:rsid w:val="00445D78"/>
    <w:rsid w:val="004460D1"/>
    <w:rsid w:val="00446771"/>
    <w:rsid w:val="0044683D"/>
    <w:rsid w:val="004468D4"/>
    <w:rsid w:val="00446AC7"/>
    <w:rsid w:val="0044722C"/>
    <w:rsid w:val="00447C69"/>
    <w:rsid w:val="00447E5C"/>
    <w:rsid w:val="00447FDC"/>
    <w:rsid w:val="0045000B"/>
    <w:rsid w:val="004500C7"/>
    <w:rsid w:val="00450220"/>
    <w:rsid w:val="00450322"/>
    <w:rsid w:val="00450459"/>
    <w:rsid w:val="004508AA"/>
    <w:rsid w:val="00450990"/>
    <w:rsid w:val="004509A5"/>
    <w:rsid w:val="00450AF0"/>
    <w:rsid w:val="00450B26"/>
    <w:rsid w:val="00450B6B"/>
    <w:rsid w:val="00450BC4"/>
    <w:rsid w:val="00450CCD"/>
    <w:rsid w:val="004512EB"/>
    <w:rsid w:val="00451394"/>
    <w:rsid w:val="00451555"/>
    <w:rsid w:val="00451894"/>
    <w:rsid w:val="00451998"/>
    <w:rsid w:val="00451A04"/>
    <w:rsid w:val="00451E03"/>
    <w:rsid w:val="00451F90"/>
    <w:rsid w:val="004520D0"/>
    <w:rsid w:val="00452268"/>
    <w:rsid w:val="0045241E"/>
    <w:rsid w:val="004526B1"/>
    <w:rsid w:val="004527B0"/>
    <w:rsid w:val="0045285F"/>
    <w:rsid w:val="00452BA6"/>
    <w:rsid w:val="00452D9B"/>
    <w:rsid w:val="004537D4"/>
    <w:rsid w:val="00453D76"/>
    <w:rsid w:val="00453EE2"/>
    <w:rsid w:val="00454106"/>
    <w:rsid w:val="004541BD"/>
    <w:rsid w:val="004542E6"/>
    <w:rsid w:val="00454615"/>
    <w:rsid w:val="0045480B"/>
    <w:rsid w:val="004554ED"/>
    <w:rsid w:val="0045571D"/>
    <w:rsid w:val="00455A1A"/>
    <w:rsid w:val="00455EDA"/>
    <w:rsid w:val="004560F0"/>
    <w:rsid w:val="00456310"/>
    <w:rsid w:val="00456565"/>
    <w:rsid w:val="0045658B"/>
    <w:rsid w:val="004565B4"/>
    <w:rsid w:val="004565D0"/>
    <w:rsid w:val="00456870"/>
    <w:rsid w:val="00456A87"/>
    <w:rsid w:val="00456B5B"/>
    <w:rsid w:val="00456B76"/>
    <w:rsid w:val="00456CE4"/>
    <w:rsid w:val="00456F60"/>
    <w:rsid w:val="004572E2"/>
    <w:rsid w:val="00457487"/>
    <w:rsid w:val="00457510"/>
    <w:rsid w:val="00457655"/>
    <w:rsid w:val="00457684"/>
    <w:rsid w:val="004576C0"/>
    <w:rsid w:val="00457707"/>
    <w:rsid w:val="00457791"/>
    <w:rsid w:val="00457BC6"/>
    <w:rsid w:val="00457D1F"/>
    <w:rsid w:val="00457E2B"/>
    <w:rsid w:val="00460073"/>
    <w:rsid w:val="004601AA"/>
    <w:rsid w:val="00460392"/>
    <w:rsid w:val="004607AA"/>
    <w:rsid w:val="00460837"/>
    <w:rsid w:val="00460A91"/>
    <w:rsid w:val="00460D92"/>
    <w:rsid w:val="004610CD"/>
    <w:rsid w:val="00461124"/>
    <w:rsid w:val="004611EB"/>
    <w:rsid w:val="004612FA"/>
    <w:rsid w:val="0046134F"/>
    <w:rsid w:val="0046148C"/>
    <w:rsid w:val="004615B2"/>
    <w:rsid w:val="00461843"/>
    <w:rsid w:val="00461971"/>
    <w:rsid w:val="00461B7C"/>
    <w:rsid w:val="00461C12"/>
    <w:rsid w:val="00461CF3"/>
    <w:rsid w:val="00462330"/>
    <w:rsid w:val="00462403"/>
    <w:rsid w:val="0046244D"/>
    <w:rsid w:val="00462A51"/>
    <w:rsid w:val="00462A79"/>
    <w:rsid w:val="00462B5C"/>
    <w:rsid w:val="00462E24"/>
    <w:rsid w:val="00463019"/>
    <w:rsid w:val="00463053"/>
    <w:rsid w:val="00463111"/>
    <w:rsid w:val="00463417"/>
    <w:rsid w:val="004634C6"/>
    <w:rsid w:val="004636E2"/>
    <w:rsid w:val="0046392C"/>
    <w:rsid w:val="004639A2"/>
    <w:rsid w:val="00463C4B"/>
    <w:rsid w:val="004641FB"/>
    <w:rsid w:val="0046435A"/>
    <w:rsid w:val="00464584"/>
    <w:rsid w:val="0046485A"/>
    <w:rsid w:val="00464A7A"/>
    <w:rsid w:val="004650B8"/>
    <w:rsid w:val="00465157"/>
    <w:rsid w:val="00465341"/>
    <w:rsid w:val="00465773"/>
    <w:rsid w:val="004658E6"/>
    <w:rsid w:val="00465A75"/>
    <w:rsid w:val="00465CDC"/>
    <w:rsid w:val="00466238"/>
    <w:rsid w:val="00466346"/>
    <w:rsid w:val="004672EB"/>
    <w:rsid w:val="004673C9"/>
    <w:rsid w:val="00467708"/>
    <w:rsid w:val="00467811"/>
    <w:rsid w:val="0046790C"/>
    <w:rsid w:val="0046791E"/>
    <w:rsid w:val="004679F5"/>
    <w:rsid w:val="00467C38"/>
    <w:rsid w:val="00467DA1"/>
    <w:rsid w:val="00467EBC"/>
    <w:rsid w:val="004702EC"/>
    <w:rsid w:val="0047093A"/>
    <w:rsid w:val="004709A0"/>
    <w:rsid w:val="004710F1"/>
    <w:rsid w:val="004713C7"/>
    <w:rsid w:val="00471625"/>
    <w:rsid w:val="0047186F"/>
    <w:rsid w:val="00471AA0"/>
    <w:rsid w:val="00471B05"/>
    <w:rsid w:val="00471BF0"/>
    <w:rsid w:val="00471C3A"/>
    <w:rsid w:val="00471D71"/>
    <w:rsid w:val="00471E3C"/>
    <w:rsid w:val="00471FA0"/>
    <w:rsid w:val="004727D5"/>
    <w:rsid w:val="00472A91"/>
    <w:rsid w:val="00472BA4"/>
    <w:rsid w:val="00472D51"/>
    <w:rsid w:val="00472E18"/>
    <w:rsid w:val="004730D3"/>
    <w:rsid w:val="0047316A"/>
    <w:rsid w:val="004732CE"/>
    <w:rsid w:val="004734F8"/>
    <w:rsid w:val="00473621"/>
    <w:rsid w:val="00473864"/>
    <w:rsid w:val="004739B5"/>
    <w:rsid w:val="00473CA7"/>
    <w:rsid w:val="004741E9"/>
    <w:rsid w:val="0047449E"/>
    <w:rsid w:val="00474684"/>
    <w:rsid w:val="00474898"/>
    <w:rsid w:val="00474918"/>
    <w:rsid w:val="0047492B"/>
    <w:rsid w:val="00474BBD"/>
    <w:rsid w:val="00474D17"/>
    <w:rsid w:val="00475086"/>
    <w:rsid w:val="00475342"/>
    <w:rsid w:val="004753EF"/>
    <w:rsid w:val="00475699"/>
    <w:rsid w:val="004756C3"/>
    <w:rsid w:val="00475844"/>
    <w:rsid w:val="00475A87"/>
    <w:rsid w:val="004760E9"/>
    <w:rsid w:val="00476180"/>
    <w:rsid w:val="00476232"/>
    <w:rsid w:val="004763CF"/>
    <w:rsid w:val="00476574"/>
    <w:rsid w:val="004766AD"/>
    <w:rsid w:val="00476823"/>
    <w:rsid w:val="0047692D"/>
    <w:rsid w:val="004769B3"/>
    <w:rsid w:val="00476E8A"/>
    <w:rsid w:val="00477219"/>
    <w:rsid w:val="0047750A"/>
    <w:rsid w:val="0047765C"/>
    <w:rsid w:val="00477A53"/>
    <w:rsid w:val="00477AF4"/>
    <w:rsid w:val="0048001A"/>
    <w:rsid w:val="004801C3"/>
    <w:rsid w:val="00480251"/>
    <w:rsid w:val="004804F8"/>
    <w:rsid w:val="004807D7"/>
    <w:rsid w:val="00480902"/>
    <w:rsid w:val="004809CC"/>
    <w:rsid w:val="004811C0"/>
    <w:rsid w:val="004813A1"/>
    <w:rsid w:val="0048168F"/>
    <w:rsid w:val="0048184B"/>
    <w:rsid w:val="00481ADD"/>
    <w:rsid w:val="00481F45"/>
    <w:rsid w:val="00482280"/>
    <w:rsid w:val="0048254D"/>
    <w:rsid w:val="00482558"/>
    <w:rsid w:val="00482602"/>
    <w:rsid w:val="0048270A"/>
    <w:rsid w:val="0048277A"/>
    <w:rsid w:val="004827AC"/>
    <w:rsid w:val="004827EE"/>
    <w:rsid w:val="00482B30"/>
    <w:rsid w:val="00482DC9"/>
    <w:rsid w:val="00482EE5"/>
    <w:rsid w:val="0048318D"/>
    <w:rsid w:val="004832B3"/>
    <w:rsid w:val="004834B1"/>
    <w:rsid w:val="00483600"/>
    <w:rsid w:val="004838CE"/>
    <w:rsid w:val="00483FF9"/>
    <w:rsid w:val="00484058"/>
    <w:rsid w:val="004840EC"/>
    <w:rsid w:val="0048414C"/>
    <w:rsid w:val="0048421D"/>
    <w:rsid w:val="00484289"/>
    <w:rsid w:val="00484319"/>
    <w:rsid w:val="004843CE"/>
    <w:rsid w:val="00484500"/>
    <w:rsid w:val="00484FAA"/>
    <w:rsid w:val="00485021"/>
    <w:rsid w:val="004850C5"/>
    <w:rsid w:val="00485156"/>
    <w:rsid w:val="00485163"/>
    <w:rsid w:val="0048520D"/>
    <w:rsid w:val="004852A8"/>
    <w:rsid w:val="004858F9"/>
    <w:rsid w:val="00485935"/>
    <w:rsid w:val="004859F6"/>
    <w:rsid w:val="00485A77"/>
    <w:rsid w:val="00486103"/>
    <w:rsid w:val="004861D5"/>
    <w:rsid w:val="004862F1"/>
    <w:rsid w:val="004865A8"/>
    <w:rsid w:val="004866EC"/>
    <w:rsid w:val="00486A0D"/>
    <w:rsid w:val="00486AF4"/>
    <w:rsid w:val="0048751A"/>
    <w:rsid w:val="00487587"/>
    <w:rsid w:val="004875BC"/>
    <w:rsid w:val="00487750"/>
    <w:rsid w:val="0048785D"/>
    <w:rsid w:val="00487AF8"/>
    <w:rsid w:val="00487D1D"/>
    <w:rsid w:val="00487E28"/>
    <w:rsid w:val="00490061"/>
    <w:rsid w:val="0049037E"/>
    <w:rsid w:val="00490409"/>
    <w:rsid w:val="00490418"/>
    <w:rsid w:val="004906E8"/>
    <w:rsid w:val="00490748"/>
    <w:rsid w:val="00490C07"/>
    <w:rsid w:val="00490C32"/>
    <w:rsid w:val="00490DAC"/>
    <w:rsid w:val="00490EA9"/>
    <w:rsid w:val="004910F2"/>
    <w:rsid w:val="00491289"/>
    <w:rsid w:val="0049148B"/>
    <w:rsid w:val="00491581"/>
    <w:rsid w:val="0049180D"/>
    <w:rsid w:val="00491B81"/>
    <w:rsid w:val="004920A9"/>
    <w:rsid w:val="0049215F"/>
    <w:rsid w:val="00492B83"/>
    <w:rsid w:val="00492DF2"/>
    <w:rsid w:val="00493259"/>
    <w:rsid w:val="00493276"/>
    <w:rsid w:val="004933BF"/>
    <w:rsid w:val="00493701"/>
    <w:rsid w:val="00493E8B"/>
    <w:rsid w:val="00493FC8"/>
    <w:rsid w:val="00494006"/>
    <w:rsid w:val="00494042"/>
    <w:rsid w:val="0049433D"/>
    <w:rsid w:val="0049454C"/>
    <w:rsid w:val="004948E6"/>
    <w:rsid w:val="004949FC"/>
    <w:rsid w:val="00494DA3"/>
    <w:rsid w:val="00494E80"/>
    <w:rsid w:val="00494FCC"/>
    <w:rsid w:val="00495020"/>
    <w:rsid w:val="00495293"/>
    <w:rsid w:val="00495675"/>
    <w:rsid w:val="00495901"/>
    <w:rsid w:val="00495951"/>
    <w:rsid w:val="00495D6A"/>
    <w:rsid w:val="004963D3"/>
    <w:rsid w:val="00496795"/>
    <w:rsid w:val="0049694B"/>
    <w:rsid w:val="00496B84"/>
    <w:rsid w:val="00496D62"/>
    <w:rsid w:val="00496DD0"/>
    <w:rsid w:val="00496E61"/>
    <w:rsid w:val="00496E90"/>
    <w:rsid w:val="00496FFE"/>
    <w:rsid w:val="00497068"/>
    <w:rsid w:val="004971A6"/>
    <w:rsid w:val="004973C9"/>
    <w:rsid w:val="004975C7"/>
    <w:rsid w:val="00497A1A"/>
    <w:rsid w:val="00497CE9"/>
    <w:rsid w:val="004A08D3"/>
    <w:rsid w:val="004A0A5D"/>
    <w:rsid w:val="004A0A9B"/>
    <w:rsid w:val="004A0DAF"/>
    <w:rsid w:val="004A0F65"/>
    <w:rsid w:val="004A17C7"/>
    <w:rsid w:val="004A1D0D"/>
    <w:rsid w:val="004A1FB7"/>
    <w:rsid w:val="004A29ED"/>
    <w:rsid w:val="004A2BC4"/>
    <w:rsid w:val="004A2D93"/>
    <w:rsid w:val="004A2F07"/>
    <w:rsid w:val="004A2FEB"/>
    <w:rsid w:val="004A38AC"/>
    <w:rsid w:val="004A3C93"/>
    <w:rsid w:val="004A47F1"/>
    <w:rsid w:val="004A481F"/>
    <w:rsid w:val="004A5082"/>
    <w:rsid w:val="004A514B"/>
    <w:rsid w:val="004A521E"/>
    <w:rsid w:val="004A5429"/>
    <w:rsid w:val="004A55BE"/>
    <w:rsid w:val="004A57BB"/>
    <w:rsid w:val="004A5878"/>
    <w:rsid w:val="004A5DC9"/>
    <w:rsid w:val="004A65B7"/>
    <w:rsid w:val="004A65EC"/>
    <w:rsid w:val="004A668D"/>
    <w:rsid w:val="004A6ACC"/>
    <w:rsid w:val="004A6C9C"/>
    <w:rsid w:val="004A6CC1"/>
    <w:rsid w:val="004A71EC"/>
    <w:rsid w:val="004A7233"/>
    <w:rsid w:val="004A7242"/>
    <w:rsid w:val="004A7F00"/>
    <w:rsid w:val="004B021A"/>
    <w:rsid w:val="004B05ED"/>
    <w:rsid w:val="004B07DC"/>
    <w:rsid w:val="004B084C"/>
    <w:rsid w:val="004B09A4"/>
    <w:rsid w:val="004B0A4E"/>
    <w:rsid w:val="004B0A5C"/>
    <w:rsid w:val="004B0B73"/>
    <w:rsid w:val="004B0C8F"/>
    <w:rsid w:val="004B0E98"/>
    <w:rsid w:val="004B107A"/>
    <w:rsid w:val="004B127A"/>
    <w:rsid w:val="004B13B6"/>
    <w:rsid w:val="004B18A7"/>
    <w:rsid w:val="004B18AB"/>
    <w:rsid w:val="004B1DF5"/>
    <w:rsid w:val="004B213E"/>
    <w:rsid w:val="004B23B9"/>
    <w:rsid w:val="004B28D4"/>
    <w:rsid w:val="004B28ED"/>
    <w:rsid w:val="004B2AC3"/>
    <w:rsid w:val="004B2CDE"/>
    <w:rsid w:val="004B2E83"/>
    <w:rsid w:val="004B317D"/>
    <w:rsid w:val="004B33BD"/>
    <w:rsid w:val="004B365A"/>
    <w:rsid w:val="004B373D"/>
    <w:rsid w:val="004B38E1"/>
    <w:rsid w:val="004B39FB"/>
    <w:rsid w:val="004B3CB8"/>
    <w:rsid w:val="004B3F15"/>
    <w:rsid w:val="004B4083"/>
    <w:rsid w:val="004B4273"/>
    <w:rsid w:val="004B4283"/>
    <w:rsid w:val="004B45BF"/>
    <w:rsid w:val="004B4814"/>
    <w:rsid w:val="004B485C"/>
    <w:rsid w:val="004B4B15"/>
    <w:rsid w:val="004B4CEC"/>
    <w:rsid w:val="004B5028"/>
    <w:rsid w:val="004B5090"/>
    <w:rsid w:val="004B5258"/>
    <w:rsid w:val="004B5264"/>
    <w:rsid w:val="004B5306"/>
    <w:rsid w:val="004B545D"/>
    <w:rsid w:val="004B5478"/>
    <w:rsid w:val="004B54A5"/>
    <w:rsid w:val="004B58FD"/>
    <w:rsid w:val="004B5C47"/>
    <w:rsid w:val="004B5DD0"/>
    <w:rsid w:val="004B617F"/>
    <w:rsid w:val="004B624E"/>
    <w:rsid w:val="004B632D"/>
    <w:rsid w:val="004B636E"/>
    <w:rsid w:val="004B65A4"/>
    <w:rsid w:val="004B6763"/>
    <w:rsid w:val="004B7144"/>
    <w:rsid w:val="004B7159"/>
    <w:rsid w:val="004B7185"/>
    <w:rsid w:val="004B7236"/>
    <w:rsid w:val="004B729B"/>
    <w:rsid w:val="004B74BD"/>
    <w:rsid w:val="004B765D"/>
    <w:rsid w:val="004B7673"/>
    <w:rsid w:val="004B7912"/>
    <w:rsid w:val="004B7ABB"/>
    <w:rsid w:val="004B7E82"/>
    <w:rsid w:val="004C014D"/>
    <w:rsid w:val="004C0323"/>
    <w:rsid w:val="004C045F"/>
    <w:rsid w:val="004C04F9"/>
    <w:rsid w:val="004C0688"/>
    <w:rsid w:val="004C0850"/>
    <w:rsid w:val="004C092E"/>
    <w:rsid w:val="004C0997"/>
    <w:rsid w:val="004C0A36"/>
    <w:rsid w:val="004C0CBD"/>
    <w:rsid w:val="004C129C"/>
    <w:rsid w:val="004C133D"/>
    <w:rsid w:val="004C1527"/>
    <w:rsid w:val="004C160F"/>
    <w:rsid w:val="004C179B"/>
    <w:rsid w:val="004C18C3"/>
    <w:rsid w:val="004C193D"/>
    <w:rsid w:val="004C1A27"/>
    <w:rsid w:val="004C1CDE"/>
    <w:rsid w:val="004C1D4A"/>
    <w:rsid w:val="004C20C3"/>
    <w:rsid w:val="004C26FF"/>
    <w:rsid w:val="004C2AC9"/>
    <w:rsid w:val="004C2B33"/>
    <w:rsid w:val="004C31C9"/>
    <w:rsid w:val="004C378B"/>
    <w:rsid w:val="004C3888"/>
    <w:rsid w:val="004C3A9B"/>
    <w:rsid w:val="004C3D65"/>
    <w:rsid w:val="004C3D70"/>
    <w:rsid w:val="004C3DC2"/>
    <w:rsid w:val="004C3EFC"/>
    <w:rsid w:val="004C40CE"/>
    <w:rsid w:val="004C42D7"/>
    <w:rsid w:val="004C4A01"/>
    <w:rsid w:val="004C4BEE"/>
    <w:rsid w:val="004C4BF4"/>
    <w:rsid w:val="004C52EB"/>
    <w:rsid w:val="004C535C"/>
    <w:rsid w:val="004C55B0"/>
    <w:rsid w:val="004C569B"/>
    <w:rsid w:val="004C5F54"/>
    <w:rsid w:val="004C615C"/>
    <w:rsid w:val="004C623C"/>
    <w:rsid w:val="004C6257"/>
    <w:rsid w:val="004C62CF"/>
    <w:rsid w:val="004C69BE"/>
    <w:rsid w:val="004C7399"/>
    <w:rsid w:val="004C7504"/>
    <w:rsid w:val="004C76D2"/>
    <w:rsid w:val="004C78E8"/>
    <w:rsid w:val="004C7954"/>
    <w:rsid w:val="004C7FAD"/>
    <w:rsid w:val="004D036C"/>
    <w:rsid w:val="004D06D9"/>
    <w:rsid w:val="004D0728"/>
    <w:rsid w:val="004D08C6"/>
    <w:rsid w:val="004D0D10"/>
    <w:rsid w:val="004D1B88"/>
    <w:rsid w:val="004D1C3D"/>
    <w:rsid w:val="004D1E33"/>
    <w:rsid w:val="004D2399"/>
    <w:rsid w:val="004D244A"/>
    <w:rsid w:val="004D2948"/>
    <w:rsid w:val="004D2A88"/>
    <w:rsid w:val="004D2CC4"/>
    <w:rsid w:val="004D2D49"/>
    <w:rsid w:val="004D3298"/>
    <w:rsid w:val="004D3313"/>
    <w:rsid w:val="004D336C"/>
    <w:rsid w:val="004D385B"/>
    <w:rsid w:val="004D3CDD"/>
    <w:rsid w:val="004D3E2C"/>
    <w:rsid w:val="004D405A"/>
    <w:rsid w:val="004D408D"/>
    <w:rsid w:val="004D40EE"/>
    <w:rsid w:val="004D4344"/>
    <w:rsid w:val="004D4443"/>
    <w:rsid w:val="004D450E"/>
    <w:rsid w:val="004D4585"/>
    <w:rsid w:val="004D4720"/>
    <w:rsid w:val="004D4890"/>
    <w:rsid w:val="004D48B3"/>
    <w:rsid w:val="004D49AD"/>
    <w:rsid w:val="004D4A41"/>
    <w:rsid w:val="004D4BBF"/>
    <w:rsid w:val="004D4CD1"/>
    <w:rsid w:val="004D50D5"/>
    <w:rsid w:val="004D5155"/>
    <w:rsid w:val="004D5258"/>
    <w:rsid w:val="004D52A8"/>
    <w:rsid w:val="004D55A7"/>
    <w:rsid w:val="004D571F"/>
    <w:rsid w:val="004D6295"/>
    <w:rsid w:val="004D647B"/>
    <w:rsid w:val="004D64CE"/>
    <w:rsid w:val="004D6606"/>
    <w:rsid w:val="004D6AE3"/>
    <w:rsid w:val="004D6D58"/>
    <w:rsid w:val="004D6E46"/>
    <w:rsid w:val="004D7095"/>
    <w:rsid w:val="004D7130"/>
    <w:rsid w:val="004D739D"/>
    <w:rsid w:val="004D7445"/>
    <w:rsid w:val="004D78CC"/>
    <w:rsid w:val="004D7977"/>
    <w:rsid w:val="004E00AB"/>
    <w:rsid w:val="004E01B5"/>
    <w:rsid w:val="004E0318"/>
    <w:rsid w:val="004E038C"/>
    <w:rsid w:val="004E0B2B"/>
    <w:rsid w:val="004E0CD3"/>
    <w:rsid w:val="004E0F34"/>
    <w:rsid w:val="004E1434"/>
    <w:rsid w:val="004E17AC"/>
    <w:rsid w:val="004E17C0"/>
    <w:rsid w:val="004E1AA1"/>
    <w:rsid w:val="004E1FEA"/>
    <w:rsid w:val="004E2B68"/>
    <w:rsid w:val="004E2F98"/>
    <w:rsid w:val="004E2FEB"/>
    <w:rsid w:val="004E38E6"/>
    <w:rsid w:val="004E38F2"/>
    <w:rsid w:val="004E3F5C"/>
    <w:rsid w:val="004E43DF"/>
    <w:rsid w:val="004E4728"/>
    <w:rsid w:val="004E498B"/>
    <w:rsid w:val="004E4ED2"/>
    <w:rsid w:val="004E55D2"/>
    <w:rsid w:val="004E56B5"/>
    <w:rsid w:val="004E5768"/>
    <w:rsid w:val="004E5863"/>
    <w:rsid w:val="004E5A3C"/>
    <w:rsid w:val="004E6371"/>
    <w:rsid w:val="004E63BC"/>
    <w:rsid w:val="004E661D"/>
    <w:rsid w:val="004E6EA1"/>
    <w:rsid w:val="004E709F"/>
    <w:rsid w:val="004E75C9"/>
    <w:rsid w:val="004E760B"/>
    <w:rsid w:val="004E7A87"/>
    <w:rsid w:val="004E7B33"/>
    <w:rsid w:val="004E7FA7"/>
    <w:rsid w:val="004F002A"/>
    <w:rsid w:val="004F0185"/>
    <w:rsid w:val="004F021B"/>
    <w:rsid w:val="004F0966"/>
    <w:rsid w:val="004F0BA1"/>
    <w:rsid w:val="004F0BE8"/>
    <w:rsid w:val="004F12F5"/>
    <w:rsid w:val="004F130A"/>
    <w:rsid w:val="004F1377"/>
    <w:rsid w:val="004F14D8"/>
    <w:rsid w:val="004F17BC"/>
    <w:rsid w:val="004F1C33"/>
    <w:rsid w:val="004F1C5B"/>
    <w:rsid w:val="004F1DC5"/>
    <w:rsid w:val="004F1DD6"/>
    <w:rsid w:val="004F1DEC"/>
    <w:rsid w:val="004F1E28"/>
    <w:rsid w:val="004F21B7"/>
    <w:rsid w:val="004F23C7"/>
    <w:rsid w:val="004F2400"/>
    <w:rsid w:val="004F27EE"/>
    <w:rsid w:val="004F286D"/>
    <w:rsid w:val="004F2AE0"/>
    <w:rsid w:val="004F2C34"/>
    <w:rsid w:val="004F32F6"/>
    <w:rsid w:val="004F340A"/>
    <w:rsid w:val="004F3444"/>
    <w:rsid w:val="004F3541"/>
    <w:rsid w:val="004F39C5"/>
    <w:rsid w:val="004F3A01"/>
    <w:rsid w:val="004F3FA4"/>
    <w:rsid w:val="004F4079"/>
    <w:rsid w:val="004F41B4"/>
    <w:rsid w:val="004F48E3"/>
    <w:rsid w:val="004F50F2"/>
    <w:rsid w:val="004F56C1"/>
    <w:rsid w:val="004F58B0"/>
    <w:rsid w:val="004F5941"/>
    <w:rsid w:val="004F598E"/>
    <w:rsid w:val="004F5D1D"/>
    <w:rsid w:val="004F609C"/>
    <w:rsid w:val="004F62D2"/>
    <w:rsid w:val="004F6643"/>
    <w:rsid w:val="004F6A84"/>
    <w:rsid w:val="004F6D45"/>
    <w:rsid w:val="004F6E32"/>
    <w:rsid w:val="004F6E6A"/>
    <w:rsid w:val="004F70F7"/>
    <w:rsid w:val="004F71B8"/>
    <w:rsid w:val="004F72FF"/>
    <w:rsid w:val="004F7793"/>
    <w:rsid w:val="004F7A06"/>
    <w:rsid w:val="004F7BC6"/>
    <w:rsid w:val="004F7FEC"/>
    <w:rsid w:val="004F7FFC"/>
    <w:rsid w:val="00500034"/>
    <w:rsid w:val="00500403"/>
    <w:rsid w:val="00501076"/>
    <w:rsid w:val="0050166F"/>
    <w:rsid w:val="0050184D"/>
    <w:rsid w:val="00502663"/>
    <w:rsid w:val="00502684"/>
    <w:rsid w:val="00502AFF"/>
    <w:rsid w:val="00502D30"/>
    <w:rsid w:val="00502EB8"/>
    <w:rsid w:val="00503047"/>
    <w:rsid w:val="00503A9A"/>
    <w:rsid w:val="00503AAB"/>
    <w:rsid w:val="00503B08"/>
    <w:rsid w:val="00503C37"/>
    <w:rsid w:val="00504221"/>
    <w:rsid w:val="005043E9"/>
    <w:rsid w:val="00504631"/>
    <w:rsid w:val="0050471C"/>
    <w:rsid w:val="00504D45"/>
    <w:rsid w:val="00504D4B"/>
    <w:rsid w:val="00504FB7"/>
    <w:rsid w:val="005054BF"/>
    <w:rsid w:val="0050554F"/>
    <w:rsid w:val="0050560F"/>
    <w:rsid w:val="005058CE"/>
    <w:rsid w:val="005059A2"/>
    <w:rsid w:val="00505EE1"/>
    <w:rsid w:val="00506495"/>
    <w:rsid w:val="00506526"/>
    <w:rsid w:val="005065DF"/>
    <w:rsid w:val="005069A7"/>
    <w:rsid w:val="005069D7"/>
    <w:rsid w:val="00506B72"/>
    <w:rsid w:val="00506BAC"/>
    <w:rsid w:val="00506C22"/>
    <w:rsid w:val="0050725A"/>
    <w:rsid w:val="0050757D"/>
    <w:rsid w:val="00507659"/>
    <w:rsid w:val="00507A11"/>
    <w:rsid w:val="00507B91"/>
    <w:rsid w:val="00507CEE"/>
    <w:rsid w:val="00507D74"/>
    <w:rsid w:val="00507E56"/>
    <w:rsid w:val="00510358"/>
    <w:rsid w:val="00510428"/>
    <w:rsid w:val="005104F4"/>
    <w:rsid w:val="00510646"/>
    <w:rsid w:val="005106B4"/>
    <w:rsid w:val="00510875"/>
    <w:rsid w:val="00510C77"/>
    <w:rsid w:val="00510EBB"/>
    <w:rsid w:val="00511057"/>
    <w:rsid w:val="005112A3"/>
    <w:rsid w:val="005114D4"/>
    <w:rsid w:val="00511553"/>
    <w:rsid w:val="005115EF"/>
    <w:rsid w:val="005119A0"/>
    <w:rsid w:val="00511C69"/>
    <w:rsid w:val="00511E3C"/>
    <w:rsid w:val="005128B8"/>
    <w:rsid w:val="0051295B"/>
    <w:rsid w:val="00512A48"/>
    <w:rsid w:val="00512EAA"/>
    <w:rsid w:val="00512F21"/>
    <w:rsid w:val="0051301A"/>
    <w:rsid w:val="0051308B"/>
    <w:rsid w:val="005131E9"/>
    <w:rsid w:val="005131F2"/>
    <w:rsid w:val="00513867"/>
    <w:rsid w:val="00513B8D"/>
    <w:rsid w:val="00513BD8"/>
    <w:rsid w:val="00513C22"/>
    <w:rsid w:val="00513F1E"/>
    <w:rsid w:val="00513F92"/>
    <w:rsid w:val="005141C7"/>
    <w:rsid w:val="00514384"/>
    <w:rsid w:val="005146F8"/>
    <w:rsid w:val="00515037"/>
    <w:rsid w:val="00515052"/>
    <w:rsid w:val="005151B3"/>
    <w:rsid w:val="005152ED"/>
    <w:rsid w:val="00515675"/>
    <w:rsid w:val="0051580C"/>
    <w:rsid w:val="00515890"/>
    <w:rsid w:val="005159BB"/>
    <w:rsid w:val="00515E6D"/>
    <w:rsid w:val="005160C7"/>
    <w:rsid w:val="0051621C"/>
    <w:rsid w:val="00516249"/>
    <w:rsid w:val="00516712"/>
    <w:rsid w:val="005168DE"/>
    <w:rsid w:val="0051704D"/>
    <w:rsid w:val="00517067"/>
    <w:rsid w:val="00517113"/>
    <w:rsid w:val="005177E9"/>
    <w:rsid w:val="00517AAF"/>
    <w:rsid w:val="00517C15"/>
    <w:rsid w:val="00517D21"/>
    <w:rsid w:val="0052081A"/>
    <w:rsid w:val="00520894"/>
    <w:rsid w:val="00520B5E"/>
    <w:rsid w:val="00520CA2"/>
    <w:rsid w:val="005213CB"/>
    <w:rsid w:val="00521729"/>
    <w:rsid w:val="0052174B"/>
    <w:rsid w:val="0052178B"/>
    <w:rsid w:val="00521987"/>
    <w:rsid w:val="005219FE"/>
    <w:rsid w:val="00521A6A"/>
    <w:rsid w:val="00521AD4"/>
    <w:rsid w:val="00521EE1"/>
    <w:rsid w:val="00521FA4"/>
    <w:rsid w:val="005220CF"/>
    <w:rsid w:val="0052219D"/>
    <w:rsid w:val="0052220B"/>
    <w:rsid w:val="00523191"/>
    <w:rsid w:val="005231F4"/>
    <w:rsid w:val="00523271"/>
    <w:rsid w:val="005233A5"/>
    <w:rsid w:val="00523459"/>
    <w:rsid w:val="005235D1"/>
    <w:rsid w:val="00523B9F"/>
    <w:rsid w:val="00523CE1"/>
    <w:rsid w:val="00523F2F"/>
    <w:rsid w:val="00523F8F"/>
    <w:rsid w:val="005240CD"/>
    <w:rsid w:val="005245C6"/>
    <w:rsid w:val="00524D0A"/>
    <w:rsid w:val="00524F61"/>
    <w:rsid w:val="00525638"/>
    <w:rsid w:val="005257D1"/>
    <w:rsid w:val="005258F7"/>
    <w:rsid w:val="00525945"/>
    <w:rsid w:val="005259AB"/>
    <w:rsid w:val="00525A2B"/>
    <w:rsid w:val="00525BFA"/>
    <w:rsid w:val="00525C4E"/>
    <w:rsid w:val="0052622F"/>
    <w:rsid w:val="005262DE"/>
    <w:rsid w:val="005263EA"/>
    <w:rsid w:val="00526AAD"/>
    <w:rsid w:val="00526B34"/>
    <w:rsid w:val="00526BE3"/>
    <w:rsid w:val="00526FAB"/>
    <w:rsid w:val="0052772A"/>
    <w:rsid w:val="00527830"/>
    <w:rsid w:val="005279DE"/>
    <w:rsid w:val="00527C64"/>
    <w:rsid w:val="00527E62"/>
    <w:rsid w:val="00530457"/>
    <w:rsid w:val="00530595"/>
    <w:rsid w:val="005305D3"/>
    <w:rsid w:val="00530AF5"/>
    <w:rsid w:val="00530CE6"/>
    <w:rsid w:val="00530F60"/>
    <w:rsid w:val="0053100C"/>
    <w:rsid w:val="00531163"/>
    <w:rsid w:val="0053190E"/>
    <w:rsid w:val="00531E24"/>
    <w:rsid w:val="005321C0"/>
    <w:rsid w:val="005324DA"/>
    <w:rsid w:val="005324ED"/>
    <w:rsid w:val="005326FF"/>
    <w:rsid w:val="00532E9B"/>
    <w:rsid w:val="0053322D"/>
    <w:rsid w:val="00533609"/>
    <w:rsid w:val="0053462E"/>
    <w:rsid w:val="00534864"/>
    <w:rsid w:val="005353DD"/>
    <w:rsid w:val="005354EF"/>
    <w:rsid w:val="00535565"/>
    <w:rsid w:val="00536633"/>
    <w:rsid w:val="005368A9"/>
    <w:rsid w:val="00536B33"/>
    <w:rsid w:val="00536D77"/>
    <w:rsid w:val="00536FE1"/>
    <w:rsid w:val="00537060"/>
    <w:rsid w:val="005373FB"/>
    <w:rsid w:val="0053742E"/>
    <w:rsid w:val="0053754C"/>
    <w:rsid w:val="00537D02"/>
    <w:rsid w:val="005402CE"/>
    <w:rsid w:val="005407A6"/>
    <w:rsid w:val="00540877"/>
    <w:rsid w:val="00540BD1"/>
    <w:rsid w:val="0054110F"/>
    <w:rsid w:val="005416A2"/>
    <w:rsid w:val="00541723"/>
    <w:rsid w:val="00541EDE"/>
    <w:rsid w:val="00541EFD"/>
    <w:rsid w:val="0054209B"/>
    <w:rsid w:val="005421AE"/>
    <w:rsid w:val="0054235E"/>
    <w:rsid w:val="005424C9"/>
    <w:rsid w:val="00542531"/>
    <w:rsid w:val="005428EB"/>
    <w:rsid w:val="00543095"/>
    <w:rsid w:val="00543193"/>
    <w:rsid w:val="0054354A"/>
    <w:rsid w:val="00543CC7"/>
    <w:rsid w:val="00543D83"/>
    <w:rsid w:val="00543FFB"/>
    <w:rsid w:val="0054400E"/>
    <w:rsid w:val="0054459E"/>
    <w:rsid w:val="0054489B"/>
    <w:rsid w:val="00544D75"/>
    <w:rsid w:val="0054540F"/>
    <w:rsid w:val="0054544C"/>
    <w:rsid w:val="0054556F"/>
    <w:rsid w:val="0054572D"/>
    <w:rsid w:val="00545816"/>
    <w:rsid w:val="00545985"/>
    <w:rsid w:val="00545BAA"/>
    <w:rsid w:val="005461DC"/>
    <w:rsid w:val="005465AC"/>
    <w:rsid w:val="00546636"/>
    <w:rsid w:val="0054663C"/>
    <w:rsid w:val="00546942"/>
    <w:rsid w:val="00546B5C"/>
    <w:rsid w:val="0054708E"/>
    <w:rsid w:val="0054711E"/>
    <w:rsid w:val="005477D9"/>
    <w:rsid w:val="00547904"/>
    <w:rsid w:val="00547B86"/>
    <w:rsid w:val="00547FF0"/>
    <w:rsid w:val="00550071"/>
    <w:rsid w:val="005502B9"/>
    <w:rsid w:val="00550529"/>
    <w:rsid w:val="005507A4"/>
    <w:rsid w:val="0055097C"/>
    <w:rsid w:val="00550BA4"/>
    <w:rsid w:val="00550F2C"/>
    <w:rsid w:val="005510B7"/>
    <w:rsid w:val="005512EC"/>
    <w:rsid w:val="00551534"/>
    <w:rsid w:val="005515F1"/>
    <w:rsid w:val="0055199C"/>
    <w:rsid w:val="00551A30"/>
    <w:rsid w:val="00551A4D"/>
    <w:rsid w:val="00551A72"/>
    <w:rsid w:val="0055217D"/>
    <w:rsid w:val="005521C0"/>
    <w:rsid w:val="005526B7"/>
    <w:rsid w:val="00552823"/>
    <w:rsid w:val="005528E1"/>
    <w:rsid w:val="00552F49"/>
    <w:rsid w:val="005532CC"/>
    <w:rsid w:val="00553339"/>
    <w:rsid w:val="00553AB4"/>
    <w:rsid w:val="00553AD3"/>
    <w:rsid w:val="00553DD6"/>
    <w:rsid w:val="00554048"/>
    <w:rsid w:val="005545B2"/>
    <w:rsid w:val="00554604"/>
    <w:rsid w:val="00554B2E"/>
    <w:rsid w:val="00554BFA"/>
    <w:rsid w:val="005550B1"/>
    <w:rsid w:val="005550F9"/>
    <w:rsid w:val="00555298"/>
    <w:rsid w:val="00555344"/>
    <w:rsid w:val="00555383"/>
    <w:rsid w:val="00555615"/>
    <w:rsid w:val="0055570D"/>
    <w:rsid w:val="00555ADD"/>
    <w:rsid w:val="00555D69"/>
    <w:rsid w:val="00556384"/>
    <w:rsid w:val="00556483"/>
    <w:rsid w:val="005569C7"/>
    <w:rsid w:val="00556AD9"/>
    <w:rsid w:val="00556D1E"/>
    <w:rsid w:val="00557180"/>
    <w:rsid w:val="0055764F"/>
    <w:rsid w:val="00557903"/>
    <w:rsid w:val="00557994"/>
    <w:rsid w:val="005579AD"/>
    <w:rsid w:val="00557A41"/>
    <w:rsid w:val="00557F6B"/>
    <w:rsid w:val="00560003"/>
    <w:rsid w:val="0056028A"/>
    <w:rsid w:val="005602D1"/>
    <w:rsid w:val="0056035C"/>
    <w:rsid w:val="00560642"/>
    <w:rsid w:val="00560690"/>
    <w:rsid w:val="005607F4"/>
    <w:rsid w:val="00560E6B"/>
    <w:rsid w:val="005610BC"/>
    <w:rsid w:val="005614E8"/>
    <w:rsid w:val="005614FE"/>
    <w:rsid w:val="005615C9"/>
    <w:rsid w:val="00561B9E"/>
    <w:rsid w:val="00561C08"/>
    <w:rsid w:val="00561C71"/>
    <w:rsid w:val="00561C83"/>
    <w:rsid w:val="00561D73"/>
    <w:rsid w:val="00561F6D"/>
    <w:rsid w:val="00561F7D"/>
    <w:rsid w:val="005624D7"/>
    <w:rsid w:val="00562640"/>
    <w:rsid w:val="005626E2"/>
    <w:rsid w:val="005629DC"/>
    <w:rsid w:val="00562B94"/>
    <w:rsid w:val="00562BD7"/>
    <w:rsid w:val="00562CBE"/>
    <w:rsid w:val="00563C31"/>
    <w:rsid w:val="00563E55"/>
    <w:rsid w:val="0056407D"/>
    <w:rsid w:val="00564179"/>
    <w:rsid w:val="00564795"/>
    <w:rsid w:val="0056482C"/>
    <w:rsid w:val="00564C1B"/>
    <w:rsid w:val="00564E1F"/>
    <w:rsid w:val="00564FC3"/>
    <w:rsid w:val="00565CA0"/>
    <w:rsid w:val="00565EA5"/>
    <w:rsid w:val="005661EE"/>
    <w:rsid w:val="005667A3"/>
    <w:rsid w:val="00566912"/>
    <w:rsid w:val="00566FEC"/>
    <w:rsid w:val="00567181"/>
    <w:rsid w:val="005671B5"/>
    <w:rsid w:val="00567507"/>
    <w:rsid w:val="00567A7D"/>
    <w:rsid w:val="00567BEB"/>
    <w:rsid w:val="00567ECE"/>
    <w:rsid w:val="005701E2"/>
    <w:rsid w:val="00570460"/>
    <w:rsid w:val="00570801"/>
    <w:rsid w:val="005709FA"/>
    <w:rsid w:val="00570A90"/>
    <w:rsid w:val="00570C99"/>
    <w:rsid w:val="00570D80"/>
    <w:rsid w:val="00570EF1"/>
    <w:rsid w:val="00571302"/>
    <w:rsid w:val="00571955"/>
    <w:rsid w:val="005720ED"/>
    <w:rsid w:val="00572842"/>
    <w:rsid w:val="00572CE8"/>
    <w:rsid w:val="00572D90"/>
    <w:rsid w:val="00572DD4"/>
    <w:rsid w:val="00573199"/>
    <w:rsid w:val="00573477"/>
    <w:rsid w:val="005737D7"/>
    <w:rsid w:val="00573A0B"/>
    <w:rsid w:val="00573A80"/>
    <w:rsid w:val="00573BF4"/>
    <w:rsid w:val="00573D02"/>
    <w:rsid w:val="00573E45"/>
    <w:rsid w:val="005743C7"/>
    <w:rsid w:val="005744F2"/>
    <w:rsid w:val="0057457E"/>
    <w:rsid w:val="005745CF"/>
    <w:rsid w:val="005749B1"/>
    <w:rsid w:val="00574CB0"/>
    <w:rsid w:val="00574D9B"/>
    <w:rsid w:val="00574EB0"/>
    <w:rsid w:val="0057506C"/>
    <w:rsid w:val="005754F6"/>
    <w:rsid w:val="00575665"/>
    <w:rsid w:val="005759B6"/>
    <w:rsid w:val="00575CE2"/>
    <w:rsid w:val="00575E74"/>
    <w:rsid w:val="00576491"/>
    <w:rsid w:val="00576524"/>
    <w:rsid w:val="0057658D"/>
    <w:rsid w:val="005767BA"/>
    <w:rsid w:val="005769BB"/>
    <w:rsid w:val="00576D9A"/>
    <w:rsid w:val="00576E17"/>
    <w:rsid w:val="00576E50"/>
    <w:rsid w:val="0057717C"/>
    <w:rsid w:val="0057739B"/>
    <w:rsid w:val="005776C6"/>
    <w:rsid w:val="00577796"/>
    <w:rsid w:val="00577D8E"/>
    <w:rsid w:val="00577EE7"/>
    <w:rsid w:val="00577FAE"/>
    <w:rsid w:val="00577FC8"/>
    <w:rsid w:val="0058006E"/>
    <w:rsid w:val="0058017F"/>
    <w:rsid w:val="0058022B"/>
    <w:rsid w:val="00580323"/>
    <w:rsid w:val="00580619"/>
    <w:rsid w:val="00580742"/>
    <w:rsid w:val="00580776"/>
    <w:rsid w:val="005807B0"/>
    <w:rsid w:val="005807EE"/>
    <w:rsid w:val="0058091B"/>
    <w:rsid w:val="00580924"/>
    <w:rsid w:val="00580A2F"/>
    <w:rsid w:val="00580AE4"/>
    <w:rsid w:val="00580B2E"/>
    <w:rsid w:val="00580BD5"/>
    <w:rsid w:val="00581132"/>
    <w:rsid w:val="00581565"/>
    <w:rsid w:val="00581762"/>
    <w:rsid w:val="00581786"/>
    <w:rsid w:val="005817F9"/>
    <w:rsid w:val="005818D0"/>
    <w:rsid w:val="00581B5C"/>
    <w:rsid w:val="00581DA8"/>
    <w:rsid w:val="00581F11"/>
    <w:rsid w:val="005827D3"/>
    <w:rsid w:val="00582A87"/>
    <w:rsid w:val="00582BB9"/>
    <w:rsid w:val="00582C0E"/>
    <w:rsid w:val="00582C1A"/>
    <w:rsid w:val="00582D10"/>
    <w:rsid w:val="00583138"/>
    <w:rsid w:val="00583326"/>
    <w:rsid w:val="00583628"/>
    <w:rsid w:val="00583652"/>
    <w:rsid w:val="00583916"/>
    <w:rsid w:val="00583C1F"/>
    <w:rsid w:val="00583FB1"/>
    <w:rsid w:val="00584200"/>
    <w:rsid w:val="00584204"/>
    <w:rsid w:val="005842C8"/>
    <w:rsid w:val="005843D2"/>
    <w:rsid w:val="00584440"/>
    <w:rsid w:val="005844B2"/>
    <w:rsid w:val="0058494A"/>
    <w:rsid w:val="00584A88"/>
    <w:rsid w:val="005854BA"/>
    <w:rsid w:val="0058576B"/>
    <w:rsid w:val="005858F8"/>
    <w:rsid w:val="00585A3B"/>
    <w:rsid w:val="00585DFF"/>
    <w:rsid w:val="00585E15"/>
    <w:rsid w:val="0058619E"/>
    <w:rsid w:val="005861E6"/>
    <w:rsid w:val="0058655B"/>
    <w:rsid w:val="00586734"/>
    <w:rsid w:val="005868AB"/>
    <w:rsid w:val="00586AC4"/>
    <w:rsid w:val="00586CB6"/>
    <w:rsid w:val="00586E99"/>
    <w:rsid w:val="00586F1D"/>
    <w:rsid w:val="005871C4"/>
    <w:rsid w:val="00587427"/>
    <w:rsid w:val="00587558"/>
    <w:rsid w:val="00587B56"/>
    <w:rsid w:val="00587B67"/>
    <w:rsid w:val="00587B89"/>
    <w:rsid w:val="00587CAF"/>
    <w:rsid w:val="00587F60"/>
    <w:rsid w:val="0059003E"/>
    <w:rsid w:val="00590129"/>
    <w:rsid w:val="00590904"/>
    <w:rsid w:val="00590961"/>
    <w:rsid w:val="00590A6B"/>
    <w:rsid w:val="00590AD5"/>
    <w:rsid w:val="00590AD6"/>
    <w:rsid w:val="00591039"/>
    <w:rsid w:val="0059111C"/>
    <w:rsid w:val="0059123C"/>
    <w:rsid w:val="0059127C"/>
    <w:rsid w:val="005915A7"/>
    <w:rsid w:val="00591B09"/>
    <w:rsid w:val="00591E4A"/>
    <w:rsid w:val="00591EA7"/>
    <w:rsid w:val="005920E6"/>
    <w:rsid w:val="00592358"/>
    <w:rsid w:val="005923D4"/>
    <w:rsid w:val="005928B0"/>
    <w:rsid w:val="00592D48"/>
    <w:rsid w:val="005932A7"/>
    <w:rsid w:val="005938FE"/>
    <w:rsid w:val="00593949"/>
    <w:rsid w:val="0059397C"/>
    <w:rsid w:val="00593EC0"/>
    <w:rsid w:val="0059463B"/>
    <w:rsid w:val="0059483E"/>
    <w:rsid w:val="00594D97"/>
    <w:rsid w:val="005950BD"/>
    <w:rsid w:val="00595481"/>
    <w:rsid w:val="00595721"/>
    <w:rsid w:val="0059594C"/>
    <w:rsid w:val="00595BCD"/>
    <w:rsid w:val="0059602B"/>
    <w:rsid w:val="00596074"/>
    <w:rsid w:val="00596119"/>
    <w:rsid w:val="005964EC"/>
    <w:rsid w:val="00596EAE"/>
    <w:rsid w:val="005971B3"/>
    <w:rsid w:val="005971E7"/>
    <w:rsid w:val="00597552"/>
    <w:rsid w:val="00597634"/>
    <w:rsid w:val="0059779B"/>
    <w:rsid w:val="005977C6"/>
    <w:rsid w:val="00597910"/>
    <w:rsid w:val="005979B0"/>
    <w:rsid w:val="00597A13"/>
    <w:rsid w:val="00597B06"/>
    <w:rsid w:val="005A00DD"/>
    <w:rsid w:val="005A0100"/>
    <w:rsid w:val="005A03E8"/>
    <w:rsid w:val="005A0403"/>
    <w:rsid w:val="005A04A2"/>
    <w:rsid w:val="005A0628"/>
    <w:rsid w:val="005A06A8"/>
    <w:rsid w:val="005A090D"/>
    <w:rsid w:val="005A0BEF"/>
    <w:rsid w:val="005A0EAE"/>
    <w:rsid w:val="005A1779"/>
    <w:rsid w:val="005A1A1C"/>
    <w:rsid w:val="005A1E5C"/>
    <w:rsid w:val="005A2040"/>
    <w:rsid w:val="005A2254"/>
    <w:rsid w:val="005A2416"/>
    <w:rsid w:val="005A24D5"/>
    <w:rsid w:val="005A2747"/>
    <w:rsid w:val="005A282E"/>
    <w:rsid w:val="005A283D"/>
    <w:rsid w:val="005A28DB"/>
    <w:rsid w:val="005A2923"/>
    <w:rsid w:val="005A2D04"/>
    <w:rsid w:val="005A2E97"/>
    <w:rsid w:val="005A312F"/>
    <w:rsid w:val="005A3385"/>
    <w:rsid w:val="005A34B2"/>
    <w:rsid w:val="005A34F5"/>
    <w:rsid w:val="005A34FB"/>
    <w:rsid w:val="005A3777"/>
    <w:rsid w:val="005A3AD7"/>
    <w:rsid w:val="005A3B9C"/>
    <w:rsid w:val="005A4344"/>
    <w:rsid w:val="005A484A"/>
    <w:rsid w:val="005A4B4C"/>
    <w:rsid w:val="005A4C88"/>
    <w:rsid w:val="005A4DA2"/>
    <w:rsid w:val="005A538C"/>
    <w:rsid w:val="005A55C1"/>
    <w:rsid w:val="005A5609"/>
    <w:rsid w:val="005A578D"/>
    <w:rsid w:val="005A57A1"/>
    <w:rsid w:val="005A5939"/>
    <w:rsid w:val="005A5AC8"/>
    <w:rsid w:val="005A5CAA"/>
    <w:rsid w:val="005A61E1"/>
    <w:rsid w:val="005A6CCE"/>
    <w:rsid w:val="005A6D02"/>
    <w:rsid w:val="005A701C"/>
    <w:rsid w:val="005A7589"/>
    <w:rsid w:val="005A78B1"/>
    <w:rsid w:val="005A7995"/>
    <w:rsid w:val="005A7D94"/>
    <w:rsid w:val="005A7E84"/>
    <w:rsid w:val="005A7FFD"/>
    <w:rsid w:val="005B00E5"/>
    <w:rsid w:val="005B0282"/>
    <w:rsid w:val="005B0497"/>
    <w:rsid w:val="005B0AF7"/>
    <w:rsid w:val="005B0BF3"/>
    <w:rsid w:val="005B0D41"/>
    <w:rsid w:val="005B0D74"/>
    <w:rsid w:val="005B109F"/>
    <w:rsid w:val="005B1304"/>
    <w:rsid w:val="005B1453"/>
    <w:rsid w:val="005B155D"/>
    <w:rsid w:val="005B1562"/>
    <w:rsid w:val="005B1670"/>
    <w:rsid w:val="005B1822"/>
    <w:rsid w:val="005B1836"/>
    <w:rsid w:val="005B1929"/>
    <w:rsid w:val="005B1C95"/>
    <w:rsid w:val="005B1F32"/>
    <w:rsid w:val="005B1F60"/>
    <w:rsid w:val="005B1FE6"/>
    <w:rsid w:val="005B2110"/>
    <w:rsid w:val="005B2488"/>
    <w:rsid w:val="005B2785"/>
    <w:rsid w:val="005B2802"/>
    <w:rsid w:val="005B28BF"/>
    <w:rsid w:val="005B2D01"/>
    <w:rsid w:val="005B2F2F"/>
    <w:rsid w:val="005B336A"/>
    <w:rsid w:val="005B340E"/>
    <w:rsid w:val="005B34F9"/>
    <w:rsid w:val="005B3893"/>
    <w:rsid w:val="005B4452"/>
    <w:rsid w:val="005B46B1"/>
    <w:rsid w:val="005B48F1"/>
    <w:rsid w:val="005B4BFC"/>
    <w:rsid w:val="005B4C5F"/>
    <w:rsid w:val="005B4DB8"/>
    <w:rsid w:val="005B4DCE"/>
    <w:rsid w:val="005B4F53"/>
    <w:rsid w:val="005B4F94"/>
    <w:rsid w:val="005B505F"/>
    <w:rsid w:val="005B56A3"/>
    <w:rsid w:val="005B58FC"/>
    <w:rsid w:val="005B5B07"/>
    <w:rsid w:val="005B5E52"/>
    <w:rsid w:val="005B5F5F"/>
    <w:rsid w:val="005B5FAB"/>
    <w:rsid w:val="005B61C2"/>
    <w:rsid w:val="005B62EA"/>
    <w:rsid w:val="005B6519"/>
    <w:rsid w:val="005B6CA7"/>
    <w:rsid w:val="005B6E98"/>
    <w:rsid w:val="005B6EB5"/>
    <w:rsid w:val="005B7380"/>
    <w:rsid w:val="005B74E3"/>
    <w:rsid w:val="005B7B78"/>
    <w:rsid w:val="005B7D46"/>
    <w:rsid w:val="005B7D48"/>
    <w:rsid w:val="005B7F6B"/>
    <w:rsid w:val="005C00BB"/>
    <w:rsid w:val="005C0246"/>
    <w:rsid w:val="005C02BA"/>
    <w:rsid w:val="005C068F"/>
    <w:rsid w:val="005C0855"/>
    <w:rsid w:val="005C085F"/>
    <w:rsid w:val="005C1224"/>
    <w:rsid w:val="005C134E"/>
    <w:rsid w:val="005C13D6"/>
    <w:rsid w:val="005C149B"/>
    <w:rsid w:val="005C15F2"/>
    <w:rsid w:val="005C1839"/>
    <w:rsid w:val="005C1A47"/>
    <w:rsid w:val="005C1EA3"/>
    <w:rsid w:val="005C22B6"/>
    <w:rsid w:val="005C26F2"/>
    <w:rsid w:val="005C2EFE"/>
    <w:rsid w:val="005C3370"/>
    <w:rsid w:val="005C3561"/>
    <w:rsid w:val="005C359A"/>
    <w:rsid w:val="005C3617"/>
    <w:rsid w:val="005C3772"/>
    <w:rsid w:val="005C3927"/>
    <w:rsid w:val="005C3A69"/>
    <w:rsid w:val="005C3B17"/>
    <w:rsid w:val="005C3B34"/>
    <w:rsid w:val="005C3DF9"/>
    <w:rsid w:val="005C3F32"/>
    <w:rsid w:val="005C4215"/>
    <w:rsid w:val="005C421D"/>
    <w:rsid w:val="005C42D5"/>
    <w:rsid w:val="005C44E0"/>
    <w:rsid w:val="005C4832"/>
    <w:rsid w:val="005C498E"/>
    <w:rsid w:val="005C49E4"/>
    <w:rsid w:val="005C51A0"/>
    <w:rsid w:val="005C5670"/>
    <w:rsid w:val="005C56AA"/>
    <w:rsid w:val="005C571A"/>
    <w:rsid w:val="005C588B"/>
    <w:rsid w:val="005C5AEC"/>
    <w:rsid w:val="005C5C5F"/>
    <w:rsid w:val="005C609A"/>
    <w:rsid w:val="005C6107"/>
    <w:rsid w:val="005C647D"/>
    <w:rsid w:val="005C65CF"/>
    <w:rsid w:val="005C670D"/>
    <w:rsid w:val="005C685C"/>
    <w:rsid w:val="005C6F64"/>
    <w:rsid w:val="005C7046"/>
    <w:rsid w:val="005C70F6"/>
    <w:rsid w:val="005C7436"/>
    <w:rsid w:val="005C757C"/>
    <w:rsid w:val="005C7732"/>
    <w:rsid w:val="005C77D7"/>
    <w:rsid w:val="005C7814"/>
    <w:rsid w:val="005C7895"/>
    <w:rsid w:val="005C7B49"/>
    <w:rsid w:val="005C7CC9"/>
    <w:rsid w:val="005C7D01"/>
    <w:rsid w:val="005D0580"/>
    <w:rsid w:val="005D0810"/>
    <w:rsid w:val="005D0A57"/>
    <w:rsid w:val="005D0B06"/>
    <w:rsid w:val="005D0CF9"/>
    <w:rsid w:val="005D0DA8"/>
    <w:rsid w:val="005D0F95"/>
    <w:rsid w:val="005D1111"/>
    <w:rsid w:val="005D13D9"/>
    <w:rsid w:val="005D1571"/>
    <w:rsid w:val="005D1577"/>
    <w:rsid w:val="005D1636"/>
    <w:rsid w:val="005D1813"/>
    <w:rsid w:val="005D19F1"/>
    <w:rsid w:val="005D1AC6"/>
    <w:rsid w:val="005D1BA5"/>
    <w:rsid w:val="005D2117"/>
    <w:rsid w:val="005D2175"/>
    <w:rsid w:val="005D21F0"/>
    <w:rsid w:val="005D22F3"/>
    <w:rsid w:val="005D274E"/>
    <w:rsid w:val="005D2992"/>
    <w:rsid w:val="005D2BCC"/>
    <w:rsid w:val="005D2D4F"/>
    <w:rsid w:val="005D2E5E"/>
    <w:rsid w:val="005D2F01"/>
    <w:rsid w:val="005D3089"/>
    <w:rsid w:val="005D30CC"/>
    <w:rsid w:val="005D310D"/>
    <w:rsid w:val="005D311D"/>
    <w:rsid w:val="005D3615"/>
    <w:rsid w:val="005D3749"/>
    <w:rsid w:val="005D3951"/>
    <w:rsid w:val="005D3A55"/>
    <w:rsid w:val="005D44EC"/>
    <w:rsid w:val="005D473B"/>
    <w:rsid w:val="005D4974"/>
    <w:rsid w:val="005D4BB2"/>
    <w:rsid w:val="005D4FEB"/>
    <w:rsid w:val="005D5409"/>
    <w:rsid w:val="005D582D"/>
    <w:rsid w:val="005D5E9C"/>
    <w:rsid w:val="005D64F2"/>
    <w:rsid w:val="005D66BB"/>
    <w:rsid w:val="005D6BC5"/>
    <w:rsid w:val="005D6C4C"/>
    <w:rsid w:val="005D6C78"/>
    <w:rsid w:val="005D6D38"/>
    <w:rsid w:val="005D71C1"/>
    <w:rsid w:val="005D7AE7"/>
    <w:rsid w:val="005D7EB9"/>
    <w:rsid w:val="005E0456"/>
    <w:rsid w:val="005E0A2D"/>
    <w:rsid w:val="005E0B07"/>
    <w:rsid w:val="005E0CF4"/>
    <w:rsid w:val="005E0EE7"/>
    <w:rsid w:val="005E18AE"/>
    <w:rsid w:val="005E1B70"/>
    <w:rsid w:val="005E22A2"/>
    <w:rsid w:val="005E2435"/>
    <w:rsid w:val="005E2472"/>
    <w:rsid w:val="005E24A7"/>
    <w:rsid w:val="005E25C1"/>
    <w:rsid w:val="005E2A89"/>
    <w:rsid w:val="005E2AA2"/>
    <w:rsid w:val="005E2BFB"/>
    <w:rsid w:val="005E2DBF"/>
    <w:rsid w:val="005E309C"/>
    <w:rsid w:val="005E3200"/>
    <w:rsid w:val="005E3264"/>
    <w:rsid w:val="005E353A"/>
    <w:rsid w:val="005E3DDE"/>
    <w:rsid w:val="005E3EC2"/>
    <w:rsid w:val="005E41BA"/>
    <w:rsid w:val="005E4340"/>
    <w:rsid w:val="005E4565"/>
    <w:rsid w:val="005E4664"/>
    <w:rsid w:val="005E4B04"/>
    <w:rsid w:val="005E4BE2"/>
    <w:rsid w:val="005E4E8B"/>
    <w:rsid w:val="005E522F"/>
    <w:rsid w:val="005E5342"/>
    <w:rsid w:val="005E5874"/>
    <w:rsid w:val="005E6129"/>
    <w:rsid w:val="005E640C"/>
    <w:rsid w:val="005E6A76"/>
    <w:rsid w:val="005E6B6D"/>
    <w:rsid w:val="005E6D00"/>
    <w:rsid w:val="005E6D36"/>
    <w:rsid w:val="005E75AD"/>
    <w:rsid w:val="005E77A7"/>
    <w:rsid w:val="005E77CA"/>
    <w:rsid w:val="005E799D"/>
    <w:rsid w:val="005F0054"/>
    <w:rsid w:val="005F0306"/>
    <w:rsid w:val="005F0400"/>
    <w:rsid w:val="005F0E0E"/>
    <w:rsid w:val="005F1525"/>
    <w:rsid w:val="005F2114"/>
    <w:rsid w:val="005F21C7"/>
    <w:rsid w:val="005F21C9"/>
    <w:rsid w:val="005F23B5"/>
    <w:rsid w:val="005F2568"/>
    <w:rsid w:val="005F2B4C"/>
    <w:rsid w:val="005F2BB3"/>
    <w:rsid w:val="005F2C15"/>
    <w:rsid w:val="005F30A7"/>
    <w:rsid w:val="005F30F2"/>
    <w:rsid w:val="005F3644"/>
    <w:rsid w:val="005F3646"/>
    <w:rsid w:val="005F38C6"/>
    <w:rsid w:val="005F38ED"/>
    <w:rsid w:val="005F3EFC"/>
    <w:rsid w:val="005F3F29"/>
    <w:rsid w:val="005F4276"/>
    <w:rsid w:val="005F4287"/>
    <w:rsid w:val="005F46E0"/>
    <w:rsid w:val="005F49BF"/>
    <w:rsid w:val="005F4B66"/>
    <w:rsid w:val="005F4BB1"/>
    <w:rsid w:val="005F4D06"/>
    <w:rsid w:val="005F4D49"/>
    <w:rsid w:val="005F4EF3"/>
    <w:rsid w:val="005F4EFE"/>
    <w:rsid w:val="005F51A8"/>
    <w:rsid w:val="005F5555"/>
    <w:rsid w:val="005F55E0"/>
    <w:rsid w:val="005F5BEE"/>
    <w:rsid w:val="005F5E44"/>
    <w:rsid w:val="005F5F78"/>
    <w:rsid w:val="005F61A9"/>
    <w:rsid w:val="005F6257"/>
    <w:rsid w:val="005F6612"/>
    <w:rsid w:val="005F69FF"/>
    <w:rsid w:val="005F6A7A"/>
    <w:rsid w:val="005F6C81"/>
    <w:rsid w:val="005F6E0E"/>
    <w:rsid w:val="005F7307"/>
    <w:rsid w:val="005F7648"/>
    <w:rsid w:val="005F7680"/>
    <w:rsid w:val="005F7730"/>
    <w:rsid w:val="005F773C"/>
    <w:rsid w:val="005F7882"/>
    <w:rsid w:val="005F78A0"/>
    <w:rsid w:val="005F7CE5"/>
    <w:rsid w:val="005F7DCF"/>
    <w:rsid w:val="005F7FC0"/>
    <w:rsid w:val="006000E8"/>
    <w:rsid w:val="00600140"/>
    <w:rsid w:val="00600206"/>
    <w:rsid w:val="0060049B"/>
    <w:rsid w:val="00600575"/>
    <w:rsid w:val="006006A7"/>
    <w:rsid w:val="00600806"/>
    <w:rsid w:val="006009DA"/>
    <w:rsid w:val="00600B01"/>
    <w:rsid w:val="00600C6E"/>
    <w:rsid w:val="00601017"/>
    <w:rsid w:val="006011F0"/>
    <w:rsid w:val="0060131A"/>
    <w:rsid w:val="006016AF"/>
    <w:rsid w:val="006016F3"/>
    <w:rsid w:val="006018DB"/>
    <w:rsid w:val="00601CB0"/>
    <w:rsid w:val="00601D17"/>
    <w:rsid w:val="00601FBD"/>
    <w:rsid w:val="0060241E"/>
    <w:rsid w:val="0060299B"/>
    <w:rsid w:val="00602B0A"/>
    <w:rsid w:val="00602B17"/>
    <w:rsid w:val="00603012"/>
    <w:rsid w:val="00603060"/>
    <w:rsid w:val="0060315A"/>
    <w:rsid w:val="00603571"/>
    <w:rsid w:val="006039D9"/>
    <w:rsid w:val="00603A2A"/>
    <w:rsid w:val="00603C0C"/>
    <w:rsid w:val="00604061"/>
    <w:rsid w:val="00604194"/>
    <w:rsid w:val="006041AD"/>
    <w:rsid w:val="0060457C"/>
    <w:rsid w:val="0060491C"/>
    <w:rsid w:val="00604C3D"/>
    <w:rsid w:val="00604F71"/>
    <w:rsid w:val="0060530C"/>
    <w:rsid w:val="00605612"/>
    <w:rsid w:val="00605A9D"/>
    <w:rsid w:val="00605DB4"/>
    <w:rsid w:val="006060F8"/>
    <w:rsid w:val="006061D7"/>
    <w:rsid w:val="00606F24"/>
    <w:rsid w:val="006073ED"/>
    <w:rsid w:val="00607529"/>
    <w:rsid w:val="00607A4B"/>
    <w:rsid w:val="00607D6E"/>
    <w:rsid w:val="00607E51"/>
    <w:rsid w:val="00607F09"/>
    <w:rsid w:val="00610332"/>
    <w:rsid w:val="0061056C"/>
    <w:rsid w:val="00610E1D"/>
    <w:rsid w:val="00610FDE"/>
    <w:rsid w:val="006111A5"/>
    <w:rsid w:val="00611390"/>
    <w:rsid w:val="0061160A"/>
    <w:rsid w:val="0061170A"/>
    <w:rsid w:val="006117C6"/>
    <w:rsid w:val="00611BC0"/>
    <w:rsid w:val="00611D40"/>
    <w:rsid w:val="00611E81"/>
    <w:rsid w:val="0061241D"/>
    <w:rsid w:val="0061264E"/>
    <w:rsid w:val="006128ED"/>
    <w:rsid w:val="00612925"/>
    <w:rsid w:val="00612BE0"/>
    <w:rsid w:val="00612BFB"/>
    <w:rsid w:val="00612DAF"/>
    <w:rsid w:val="00612EE0"/>
    <w:rsid w:val="0061328C"/>
    <w:rsid w:val="0061349F"/>
    <w:rsid w:val="0061362C"/>
    <w:rsid w:val="006138FD"/>
    <w:rsid w:val="00613B0E"/>
    <w:rsid w:val="00613D9B"/>
    <w:rsid w:val="0061427D"/>
    <w:rsid w:val="006142EF"/>
    <w:rsid w:val="006148A9"/>
    <w:rsid w:val="00614D73"/>
    <w:rsid w:val="00614DD4"/>
    <w:rsid w:val="0061523C"/>
    <w:rsid w:val="006155FE"/>
    <w:rsid w:val="00615BE9"/>
    <w:rsid w:val="00615DAF"/>
    <w:rsid w:val="00615FBE"/>
    <w:rsid w:val="0061627F"/>
    <w:rsid w:val="006168DE"/>
    <w:rsid w:val="00616A4D"/>
    <w:rsid w:val="006174BF"/>
    <w:rsid w:val="006178D8"/>
    <w:rsid w:val="006179CA"/>
    <w:rsid w:val="0062005D"/>
    <w:rsid w:val="006202A6"/>
    <w:rsid w:val="00620BD5"/>
    <w:rsid w:val="00620E9D"/>
    <w:rsid w:val="0062132E"/>
    <w:rsid w:val="006216D6"/>
    <w:rsid w:val="00621CDD"/>
    <w:rsid w:val="00621F36"/>
    <w:rsid w:val="00622475"/>
    <w:rsid w:val="0062248F"/>
    <w:rsid w:val="00622572"/>
    <w:rsid w:val="0062264A"/>
    <w:rsid w:val="00622731"/>
    <w:rsid w:val="0062284D"/>
    <w:rsid w:val="00622859"/>
    <w:rsid w:val="006228BB"/>
    <w:rsid w:val="00622C8F"/>
    <w:rsid w:val="00622DE7"/>
    <w:rsid w:val="006233E8"/>
    <w:rsid w:val="0062369E"/>
    <w:rsid w:val="00623A93"/>
    <w:rsid w:val="00623B39"/>
    <w:rsid w:val="00623D22"/>
    <w:rsid w:val="00624425"/>
    <w:rsid w:val="006247B0"/>
    <w:rsid w:val="00624961"/>
    <w:rsid w:val="006249C3"/>
    <w:rsid w:val="00624A73"/>
    <w:rsid w:val="00624C50"/>
    <w:rsid w:val="0062560E"/>
    <w:rsid w:val="0062586D"/>
    <w:rsid w:val="0062596C"/>
    <w:rsid w:val="00625B11"/>
    <w:rsid w:val="00625B60"/>
    <w:rsid w:val="00625BB4"/>
    <w:rsid w:val="0062682D"/>
    <w:rsid w:val="0062692D"/>
    <w:rsid w:val="0062692F"/>
    <w:rsid w:val="00626EC3"/>
    <w:rsid w:val="00626F93"/>
    <w:rsid w:val="00627018"/>
    <w:rsid w:val="0062705B"/>
    <w:rsid w:val="006270E3"/>
    <w:rsid w:val="00627504"/>
    <w:rsid w:val="00627863"/>
    <w:rsid w:val="00627879"/>
    <w:rsid w:val="00627FBD"/>
    <w:rsid w:val="00630867"/>
    <w:rsid w:val="00630F0A"/>
    <w:rsid w:val="00630FF9"/>
    <w:rsid w:val="006310DE"/>
    <w:rsid w:val="0063182C"/>
    <w:rsid w:val="00631908"/>
    <w:rsid w:val="00631B55"/>
    <w:rsid w:val="006323FA"/>
    <w:rsid w:val="006324AF"/>
    <w:rsid w:val="006324DF"/>
    <w:rsid w:val="00632F99"/>
    <w:rsid w:val="006330DF"/>
    <w:rsid w:val="0063320C"/>
    <w:rsid w:val="00633368"/>
    <w:rsid w:val="00633806"/>
    <w:rsid w:val="00633AF5"/>
    <w:rsid w:val="00633E24"/>
    <w:rsid w:val="00633E2F"/>
    <w:rsid w:val="00634280"/>
    <w:rsid w:val="00634397"/>
    <w:rsid w:val="006344BB"/>
    <w:rsid w:val="0063452A"/>
    <w:rsid w:val="00634581"/>
    <w:rsid w:val="006345DE"/>
    <w:rsid w:val="006345E7"/>
    <w:rsid w:val="00634946"/>
    <w:rsid w:val="0063516B"/>
    <w:rsid w:val="00635B0E"/>
    <w:rsid w:val="00635CE7"/>
    <w:rsid w:val="00635D6A"/>
    <w:rsid w:val="00635DEC"/>
    <w:rsid w:val="00636341"/>
    <w:rsid w:val="0063644C"/>
    <w:rsid w:val="00636747"/>
    <w:rsid w:val="00636810"/>
    <w:rsid w:val="00636BE0"/>
    <w:rsid w:val="0063769B"/>
    <w:rsid w:val="00637803"/>
    <w:rsid w:val="006379B5"/>
    <w:rsid w:val="00637D95"/>
    <w:rsid w:val="00637DF6"/>
    <w:rsid w:val="00637EF5"/>
    <w:rsid w:val="00640383"/>
    <w:rsid w:val="006403F0"/>
    <w:rsid w:val="006405C8"/>
    <w:rsid w:val="006405D0"/>
    <w:rsid w:val="0064061B"/>
    <w:rsid w:val="00640756"/>
    <w:rsid w:val="00640A16"/>
    <w:rsid w:val="00640B44"/>
    <w:rsid w:val="00640BAB"/>
    <w:rsid w:val="00640EA8"/>
    <w:rsid w:val="0064105C"/>
    <w:rsid w:val="00641515"/>
    <w:rsid w:val="00641711"/>
    <w:rsid w:val="00641725"/>
    <w:rsid w:val="00641772"/>
    <w:rsid w:val="00641955"/>
    <w:rsid w:val="00641BC4"/>
    <w:rsid w:val="00641C54"/>
    <w:rsid w:val="00641F9B"/>
    <w:rsid w:val="006423BD"/>
    <w:rsid w:val="00642645"/>
    <w:rsid w:val="00642671"/>
    <w:rsid w:val="00642CAA"/>
    <w:rsid w:val="00642D09"/>
    <w:rsid w:val="00643017"/>
    <w:rsid w:val="006432FD"/>
    <w:rsid w:val="006433D8"/>
    <w:rsid w:val="00643585"/>
    <w:rsid w:val="00643690"/>
    <w:rsid w:val="00643966"/>
    <w:rsid w:val="006440E2"/>
    <w:rsid w:val="006444CE"/>
    <w:rsid w:val="00644779"/>
    <w:rsid w:val="00644970"/>
    <w:rsid w:val="00644A52"/>
    <w:rsid w:val="00644CAF"/>
    <w:rsid w:val="00644CC6"/>
    <w:rsid w:val="00644EF8"/>
    <w:rsid w:val="00644F06"/>
    <w:rsid w:val="00645097"/>
    <w:rsid w:val="006454B8"/>
    <w:rsid w:val="00645767"/>
    <w:rsid w:val="0064581D"/>
    <w:rsid w:val="006461F9"/>
    <w:rsid w:val="00646637"/>
    <w:rsid w:val="00646813"/>
    <w:rsid w:val="0064693B"/>
    <w:rsid w:val="0064696D"/>
    <w:rsid w:val="00646AA1"/>
    <w:rsid w:val="00646D18"/>
    <w:rsid w:val="0064722B"/>
    <w:rsid w:val="00647449"/>
    <w:rsid w:val="0064773C"/>
    <w:rsid w:val="006479FC"/>
    <w:rsid w:val="00647AA4"/>
    <w:rsid w:val="00647ED6"/>
    <w:rsid w:val="0065065B"/>
    <w:rsid w:val="006508EC"/>
    <w:rsid w:val="0065101A"/>
    <w:rsid w:val="006510D6"/>
    <w:rsid w:val="006510F1"/>
    <w:rsid w:val="006514FB"/>
    <w:rsid w:val="006516A1"/>
    <w:rsid w:val="006516DF"/>
    <w:rsid w:val="0065175C"/>
    <w:rsid w:val="006519D5"/>
    <w:rsid w:val="00651A73"/>
    <w:rsid w:val="00652007"/>
    <w:rsid w:val="006520FD"/>
    <w:rsid w:val="00652116"/>
    <w:rsid w:val="0065249E"/>
    <w:rsid w:val="00652582"/>
    <w:rsid w:val="006525B8"/>
    <w:rsid w:val="00652C68"/>
    <w:rsid w:val="0065337E"/>
    <w:rsid w:val="0065395A"/>
    <w:rsid w:val="006539E8"/>
    <w:rsid w:val="00653A7C"/>
    <w:rsid w:val="00653CDE"/>
    <w:rsid w:val="00653E10"/>
    <w:rsid w:val="006541F7"/>
    <w:rsid w:val="006544A7"/>
    <w:rsid w:val="006545EC"/>
    <w:rsid w:val="00654646"/>
    <w:rsid w:val="006547C4"/>
    <w:rsid w:val="0065485B"/>
    <w:rsid w:val="0065489E"/>
    <w:rsid w:val="00654A76"/>
    <w:rsid w:val="00654B8D"/>
    <w:rsid w:val="00654E80"/>
    <w:rsid w:val="00654FBF"/>
    <w:rsid w:val="00655005"/>
    <w:rsid w:val="006550A6"/>
    <w:rsid w:val="00655182"/>
    <w:rsid w:val="006551DA"/>
    <w:rsid w:val="0065540D"/>
    <w:rsid w:val="00655542"/>
    <w:rsid w:val="00655AF4"/>
    <w:rsid w:val="00655B44"/>
    <w:rsid w:val="006565F3"/>
    <w:rsid w:val="00656738"/>
    <w:rsid w:val="00656882"/>
    <w:rsid w:val="00656B6D"/>
    <w:rsid w:val="00656B72"/>
    <w:rsid w:val="00656B83"/>
    <w:rsid w:val="00656CA9"/>
    <w:rsid w:val="006575CC"/>
    <w:rsid w:val="0065765A"/>
    <w:rsid w:val="0065769A"/>
    <w:rsid w:val="006576E8"/>
    <w:rsid w:val="00657702"/>
    <w:rsid w:val="00657AF8"/>
    <w:rsid w:val="00657E9F"/>
    <w:rsid w:val="00657F05"/>
    <w:rsid w:val="0066005C"/>
    <w:rsid w:val="006601B7"/>
    <w:rsid w:val="0066031C"/>
    <w:rsid w:val="00660A89"/>
    <w:rsid w:val="00660CAB"/>
    <w:rsid w:val="00660E22"/>
    <w:rsid w:val="00660E66"/>
    <w:rsid w:val="00661168"/>
    <w:rsid w:val="006613F1"/>
    <w:rsid w:val="00661630"/>
    <w:rsid w:val="00661830"/>
    <w:rsid w:val="0066187A"/>
    <w:rsid w:val="0066188C"/>
    <w:rsid w:val="00661945"/>
    <w:rsid w:val="006619E7"/>
    <w:rsid w:val="00661A01"/>
    <w:rsid w:val="00661EAD"/>
    <w:rsid w:val="00662214"/>
    <w:rsid w:val="00662426"/>
    <w:rsid w:val="006624FB"/>
    <w:rsid w:val="00662758"/>
    <w:rsid w:val="00662887"/>
    <w:rsid w:val="006629A8"/>
    <w:rsid w:val="00662B46"/>
    <w:rsid w:val="00662D06"/>
    <w:rsid w:val="00662EF1"/>
    <w:rsid w:val="00662F17"/>
    <w:rsid w:val="006633BA"/>
    <w:rsid w:val="006634E5"/>
    <w:rsid w:val="0066358E"/>
    <w:rsid w:val="00663634"/>
    <w:rsid w:val="006636A2"/>
    <w:rsid w:val="00663916"/>
    <w:rsid w:val="00663B4C"/>
    <w:rsid w:val="00663E01"/>
    <w:rsid w:val="00663EB1"/>
    <w:rsid w:val="00664149"/>
    <w:rsid w:val="006644A4"/>
    <w:rsid w:val="00664512"/>
    <w:rsid w:val="0066460E"/>
    <w:rsid w:val="00664A78"/>
    <w:rsid w:val="00665339"/>
    <w:rsid w:val="00665372"/>
    <w:rsid w:val="006655B3"/>
    <w:rsid w:val="00665691"/>
    <w:rsid w:val="0066580E"/>
    <w:rsid w:val="00665865"/>
    <w:rsid w:val="006658DB"/>
    <w:rsid w:val="00665AC1"/>
    <w:rsid w:val="00665B56"/>
    <w:rsid w:val="0066602C"/>
    <w:rsid w:val="0066633F"/>
    <w:rsid w:val="0066666E"/>
    <w:rsid w:val="006669A3"/>
    <w:rsid w:val="00666AB0"/>
    <w:rsid w:val="00666AC4"/>
    <w:rsid w:val="00666B36"/>
    <w:rsid w:val="006672DF"/>
    <w:rsid w:val="0066772C"/>
    <w:rsid w:val="00667813"/>
    <w:rsid w:val="006678FF"/>
    <w:rsid w:val="00667ABA"/>
    <w:rsid w:val="0067046C"/>
    <w:rsid w:val="006704FD"/>
    <w:rsid w:val="006706A2"/>
    <w:rsid w:val="006708D1"/>
    <w:rsid w:val="0067096B"/>
    <w:rsid w:val="00670B1A"/>
    <w:rsid w:val="00670D9C"/>
    <w:rsid w:val="00671D68"/>
    <w:rsid w:val="00671EC4"/>
    <w:rsid w:val="00672214"/>
    <w:rsid w:val="0067272F"/>
    <w:rsid w:val="00672BD5"/>
    <w:rsid w:val="00672F07"/>
    <w:rsid w:val="006731A2"/>
    <w:rsid w:val="00673232"/>
    <w:rsid w:val="0067328D"/>
    <w:rsid w:val="006733E0"/>
    <w:rsid w:val="006734FF"/>
    <w:rsid w:val="006739D6"/>
    <w:rsid w:val="00673FA6"/>
    <w:rsid w:val="00674066"/>
    <w:rsid w:val="0067412A"/>
    <w:rsid w:val="0067429E"/>
    <w:rsid w:val="006746A8"/>
    <w:rsid w:val="00674E44"/>
    <w:rsid w:val="00674F23"/>
    <w:rsid w:val="00675102"/>
    <w:rsid w:val="00675371"/>
    <w:rsid w:val="00675790"/>
    <w:rsid w:val="00675846"/>
    <w:rsid w:val="00675A68"/>
    <w:rsid w:val="00675B6C"/>
    <w:rsid w:val="00675BB7"/>
    <w:rsid w:val="00675CCB"/>
    <w:rsid w:val="00675D96"/>
    <w:rsid w:val="00676227"/>
    <w:rsid w:val="00676284"/>
    <w:rsid w:val="00676620"/>
    <w:rsid w:val="0067677E"/>
    <w:rsid w:val="00676A02"/>
    <w:rsid w:val="00676AAF"/>
    <w:rsid w:val="00676B7D"/>
    <w:rsid w:val="00676D63"/>
    <w:rsid w:val="00676E8F"/>
    <w:rsid w:val="00676ED4"/>
    <w:rsid w:val="006770F8"/>
    <w:rsid w:val="006773FD"/>
    <w:rsid w:val="006775FD"/>
    <w:rsid w:val="00677715"/>
    <w:rsid w:val="00677E40"/>
    <w:rsid w:val="00677EDB"/>
    <w:rsid w:val="00677F42"/>
    <w:rsid w:val="006800EC"/>
    <w:rsid w:val="006802D1"/>
    <w:rsid w:val="00680417"/>
    <w:rsid w:val="006807B6"/>
    <w:rsid w:val="00680844"/>
    <w:rsid w:val="00680949"/>
    <w:rsid w:val="00680ADC"/>
    <w:rsid w:val="00680BF8"/>
    <w:rsid w:val="00680F12"/>
    <w:rsid w:val="00681086"/>
    <w:rsid w:val="0068127A"/>
    <w:rsid w:val="00681471"/>
    <w:rsid w:val="006817DB"/>
    <w:rsid w:val="0068185A"/>
    <w:rsid w:val="00681D70"/>
    <w:rsid w:val="006825DD"/>
    <w:rsid w:val="00682915"/>
    <w:rsid w:val="006829D7"/>
    <w:rsid w:val="00682B53"/>
    <w:rsid w:val="00683114"/>
    <w:rsid w:val="00683248"/>
    <w:rsid w:val="006832EA"/>
    <w:rsid w:val="00683535"/>
    <w:rsid w:val="0068355B"/>
    <w:rsid w:val="00683846"/>
    <w:rsid w:val="00683865"/>
    <w:rsid w:val="00683AF0"/>
    <w:rsid w:val="00683D2E"/>
    <w:rsid w:val="00683D79"/>
    <w:rsid w:val="006840AE"/>
    <w:rsid w:val="006844A2"/>
    <w:rsid w:val="0068475D"/>
    <w:rsid w:val="00684A26"/>
    <w:rsid w:val="00684A7D"/>
    <w:rsid w:val="00684B75"/>
    <w:rsid w:val="00684FF7"/>
    <w:rsid w:val="00685026"/>
    <w:rsid w:val="00685662"/>
    <w:rsid w:val="0068595F"/>
    <w:rsid w:val="00686737"/>
    <w:rsid w:val="00686774"/>
    <w:rsid w:val="00686779"/>
    <w:rsid w:val="00686E3C"/>
    <w:rsid w:val="006870A0"/>
    <w:rsid w:val="00687258"/>
    <w:rsid w:val="006872BE"/>
    <w:rsid w:val="0068742F"/>
    <w:rsid w:val="0068760E"/>
    <w:rsid w:val="006877DA"/>
    <w:rsid w:val="00687B0B"/>
    <w:rsid w:val="00687BC5"/>
    <w:rsid w:val="0069001B"/>
    <w:rsid w:val="0069057F"/>
    <w:rsid w:val="00690610"/>
    <w:rsid w:val="006906EF"/>
    <w:rsid w:val="00690758"/>
    <w:rsid w:val="006907E9"/>
    <w:rsid w:val="00690C29"/>
    <w:rsid w:val="00690CBC"/>
    <w:rsid w:val="00690ED1"/>
    <w:rsid w:val="0069113B"/>
    <w:rsid w:val="00691327"/>
    <w:rsid w:val="0069135F"/>
    <w:rsid w:val="006917D0"/>
    <w:rsid w:val="00691A4C"/>
    <w:rsid w:val="00691A74"/>
    <w:rsid w:val="00691C66"/>
    <w:rsid w:val="00691CF2"/>
    <w:rsid w:val="00691F28"/>
    <w:rsid w:val="00692945"/>
    <w:rsid w:val="00692BC5"/>
    <w:rsid w:val="00692DF6"/>
    <w:rsid w:val="00692F1D"/>
    <w:rsid w:val="0069349E"/>
    <w:rsid w:val="006936B0"/>
    <w:rsid w:val="006936DC"/>
    <w:rsid w:val="00693867"/>
    <w:rsid w:val="006938ED"/>
    <w:rsid w:val="00693A11"/>
    <w:rsid w:val="00693E28"/>
    <w:rsid w:val="006940C9"/>
    <w:rsid w:val="00694197"/>
    <w:rsid w:val="006941E2"/>
    <w:rsid w:val="00694C91"/>
    <w:rsid w:val="00694D92"/>
    <w:rsid w:val="00694F32"/>
    <w:rsid w:val="00695035"/>
    <w:rsid w:val="006951BA"/>
    <w:rsid w:val="006952B3"/>
    <w:rsid w:val="006956E7"/>
    <w:rsid w:val="006959EB"/>
    <w:rsid w:val="00695C90"/>
    <w:rsid w:val="006961CE"/>
    <w:rsid w:val="00696459"/>
    <w:rsid w:val="00696517"/>
    <w:rsid w:val="00696956"/>
    <w:rsid w:val="00696C85"/>
    <w:rsid w:val="00696EFE"/>
    <w:rsid w:val="00696F40"/>
    <w:rsid w:val="00697178"/>
    <w:rsid w:val="00697B28"/>
    <w:rsid w:val="00697D81"/>
    <w:rsid w:val="00697F53"/>
    <w:rsid w:val="006A010A"/>
    <w:rsid w:val="006A014D"/>
    <w:rsid w:val="006A0319"/>
    <w:rsid w:val="006A0571"/>
    <w:rsid w:val="006A07FC"/>
    <w:rsid w:val="006A0874"/>
    <w:rsid w:val="006A0E94"/>
    <w:rsid w:val="006A1198"/>
    <w:rsid w:val="006A18AC"/>
    <w:rsid w:val="006A22DC"/>
    <w:rsid w:val="006A22FD"/>
    <w:rsid w:val="006A2679"/>
    <w:rsid w:val="006A26F7"/>
    <w:rsid w:val="006A279F"/>
    <w:rsid w:val="006A281B"/>
    <w:rsid w:val="006A3174"/>
    <w:rsid w:val="006A32B7"/>
    <w:rsid w:val="006A3410"/>
    <w:rsid w:val="006A34AF"/>
    <w:rsid w:val="006A35F8"/>
    <w:rsid w:val="006A3926"/>
    <w:rsid w:val="006A3AA8"/>
    <w:rsid w:val="006A4046"/>
    <w:rsid w:val="006A453F"/>
    <w:rsid w:val="006A45FB"/>
    <w:rsid w:val="006A4AC3"/>
    <w:rsid w:val="006A4C75"/>
    <w:rsid w:val="006A4E29"/>
    <w:rsid w:val="006A4E8B"/>
    <w:rsid w:val="006A5203"/>
    <w:rsid w:val="006A545B"/>
    <w:rsid w:val="006A547C"/>
    <w:rsid w:val="006A560D"/>
    <w:rsid w:val="006A573E"/>
    <w:rsid w:val="006A5C6D"/>
    <w:rsid w:val="006A5D2C"/>
    <w:rsid w:val="006A5E30"/>
    <w:rsid w:val="006A61F5"/>
    <w:rsid w:val="006A61FC"/>
    <w:rsid w:val="006A6275"/>
    <w:rsid w:val="006A6629"/>
    <w:rsid w:val="006A664C"/>
    <w:rsid w:val="006A67E1"/>
    <w:rsid w:val="006A687A"/>
    <w:rsid w:val="006A6D3A"/>
    <w:rsid w:val="006A703D"/>
    <w:rsid w:val="006A7048"/>
    <w:rsid w:val="006A730D"/>
    <w:rsid w:val="006A752B"/>
    <w:rsid w:val="006A75AA"/>
    <w:rsid w:val="006A7727"/>
    <w:rsid w:val="006A77FD"/>
    <w:rsid w:val="006A780C"/>
    <w:rsid w:val="006A7913"/>
    <w:rsid w:val="006A79A0"/>
    <w:rsid w:val="006A7A6D"/>
    <w:rsid w:val="006A7D05"/>
    <w:rsid w:val="006A7DC3"/>
    <w:rsid w:val="006B0363"/>
    <w:rsid w:val="006B0390"/>
    <w:rsid w:val="006B046A"/>
    <w:rsid w:val="006B050A"/>
    <w:rsid w:val="006B0826"/>
    <w:rsid w:val="006B0956"/>
    <w:rsid w:val="006B0998"/>
    <w:rsid w:val="006B0AE2"/>
    <w:rsid w:val="006B0B9A"/>
    <w:rsid w:val="006B0CC9"/>
    <w:rsid w:val="006B0E14"/>
    <w:rsid w:val="006B12B9"/>
    <w:rsid w:val="006B1327"/>
    <w:rsid w:val="006B13C4"/>
    <w:rsid w:val="006B16FC"/>
    <w:rsid w:val="006B1975"/>
    <w:rsid w:val="006B1A16"/>
    <w:rsid w:val="006B1C06"/>
    <w:rsid w:val="006B1F7D"/>
    <w:rsid w:val="006B20EA"/>
    <w:rsid w:val="006B2117"/>
    <w:rsid w:val="006B25E4"/>
    <w:rsid w:val="006B281E"/>
    <w:rsid w:val="006B28AA"/>
    <w:rsid w:val="006B3315"/>
    <w:rsid w:val="006B35E7"/>
    <w:rsid w:val="006B371C"/>
    <w:rsid w:val="006B3BC6"/>
    <w:rsid w:val="006B3C8F"/>
    <w:rsid w:val="006B3D1D"/>
    <w:rsid w:val="006B414F"/>
    <w:rsid w:val="006B41E6"/>
    <w:rsid w:val="006B4273"/>
    <w:rsid w:val="006B4489"/>
    <w:rsid w:val="006B4833"/>
    <w:rsid w:val="006B4A8D"/>
    <w:rsid w:val="006B4D99"/>
    <w:rsid w:val="006B4D9E"/>
    <w:rsid w:val="006B4E9A"/>
    <w:rsid w:val="006B511A"/>
    <w:rsid w:val="006B5195"/>
    <w:rsid w:val="006B52D9"/>
    <w:rsid w:val="006B52E4"/>
    <w:rsid w:val="006B55CB"/>
    <w:rsid w:val="006B5845"/>
    <w:rsid w:val="006B5B10"/>
    <w:rsid w:val="006B5DC4"/>
    <w:rsid w:val="006B60F4"/>
    <w:rsid w:val="006B6162"/>
    <w:rsid w:val="006B64FE"/>
    <w:rsid w:val="006B682F"/>
    <w:rsid w:val="006B6929"/>
    <w:rsid w:val="006B69C0"/>
    <w:rsid w:val="006B6A5A"/>
    <w:rsid w:val="006B6AF3"/>
    <w:rsid w:val="006B6C18"/>
    <w:rsid w:val="006B73A7"/>
    <w:rsid w:val="006B745D"/>
    <w:rsid w:val="006B7FDF"/>
    <w:rsid w:val="006C004B"/>
    <w:rsid w:val="006C0490"/>
    <w:rsid w:val="006C04C7"/>
    <w:rsid w:val="006C0A6A"/>
    <w:rsid w:val="006C0AD8"/>
    <w:rsid w:val="006C12A2"/>
    <w:rsid w:val="006C147E"/>
    <w:rsid w:val="006C19EA"/>
    <w:rsid w:val="006C21E4"/>
    <w:rsid w:val="006C22B1"/>
    <w:rsid w:val="006C23CD"/>
    <w:rsid w:val="006C2746"/>
    <w:rsid w:val="006C277A"/>
    <w:rsid w:val="006C2ADA"/>
    <w:rsid w:val="006C2DAA"/>
    <w:rsid w:val="006C2DF5"/>
    <w:rsid w:val="006C2F8E"/>
    <w:rsid w:val="006C3439"/>
    <w:rsid w:val="006C3573"/>
    <w:rsid w:val="006C380E"/>
    <w:rsid w:val="006C384C"/>
    <w:rsid w:val="006C3A32"/>
    <w:rsid w:val="006C3C81"/>
    <w:rsid w:val="006C3D5F"/>
    <w:rsid w:val="006C3DF9"/>
    <w:rsid w:val="006C3E1D"/>
    <w:rsid w:val="006C3E54"/>
    <w:rsid w:val="006C3F6B"/>
    <w:rsid w:val="006C425B"/>
    <w:rsid w:val="006C4307"/>
    <w:rsid w:val="006C4BF9"/>
    <w:rsid w:val="006C4D06"/>
    <w:rsid w:val="006C4E66"/>
    <w:rsid w:val="006C504C"/>
    <w:rsid w:val="006C50F4"/>
    <w:rsid w:val="006C521C"/>
    <w:rsid w:val="006C53C4"/>
    <w:rsid w:val="006C558E"/>
    <w:rsid w:val="006C58E3"/>
    <w:rsid w:val="006C5B38"/>
    <w:rsid w:val="006C5B4C"/>
    <w:rsid w:val="006C5BC2"/>
    <w:rsid w:val="006C5C26"/>
    <w:rsid w:val="006C5E5D"/>
    <w:rsid w:val="006C6252"/>
    <w:rsid w:val="006C67B8"/>
    <w:rsid w:val="006C683C"/>
    <w:rsid w:val="006C692C"/>
    <w:rsid w:val="006C6E41"/>
    <w:rsid w:val="006C6EF9"/>
    <w:rsid w:val="006C6F50"/>
    <w:rsid w:val="006C6FD2"/>
    <w:rsid w:val="006C72B9"/>
    <w:rsid w:val="006C73A2"/>
    <w:rsid w:val="006C76BD"/>
    <w:rsid w:val="006C7785"/>
    <w:rsid w:val="006C791C"/>
    <w:rsid w:val="006C79BD"/>
    <w:rsid w:val="006D007C"/>
    <w:rsid w:val="006D00F8"/>
    <w:rsid w:val="006D0A33"/>
    <w:rsid w:val="006D0CBA"/>
    <w:rsid w:val="006D12FB"/>
    <w:rsid w:val="006D1329"/>
    <w:rsid w:val="006D164F"/>
    <w:rsid w:val="006D1923"/>
    <w:rsid w:val="006D193B"/>
    <w:rsid w:val="006D196F"/>
    <w:rsid w:val="006D1B42"/>
    <w:rsid w:val="006D1C97"/>
    <w:rsid w:val="006D20F7"/>
    <w:rsid w:val="006D29A1"/>
    <w:rsid w:val="006D2A4B"/>
    <w:rsid w:val="006D2DA3"/>
    <w:rsid w:val="006D2F00"/>
    <w:rsid w:val="006D33B6"/>
    <w:rsid w:val="006D3A9C"/>
    <w:rsid w:val="006D3ABB"/>
    <w:rsid w:val="006D3B26"/>
    <w:rsid w:val="006D40FB"/>
    <w:rsid w:val="006D4484"/>
    <w:rsid w:val="006D4538"/>
    <w:rsid w:val="006D4DE7"/>
    <w:rsid w:val="006D4E32"/>
    <w:rsid w:val="006D5426"/>
    <w:rsid w:val="006D55A7"/>
    <w:rsid w:val="006D57A4"/>
    <w:rsid w:val="006D5C65"/>
    <w:rsid w:val="006D5D7A"/>
    <w:rsid w:val="006D5E10"/>
    <w:rsid w:val="006D6689"/>
    <w:rsid w:val="006D6D98"/>
    <w:rsid w:val="006D6ECA"/>
    <w:rsid w:val="006D72E6"/>
    <w:rsid w:val="006D76DB"/>
    <w:rsid w:val="006D7BF6"/>
    <w:rsid w:val="006E0262"/>
    <w:rsid w:val="006E0562"/>
    <w:rsid w:val="006E0613"/>
    <w:rsid w:val="006E0755"/>
    <w:rsid w:val="006E07B0"/>
    <w:rsid w:val="006E0B24"/>
    <w:rsid w:val="006E0D72"/>
    <w:rsid w:val="006E0E5B"/>
    <w:rsid w:val="006E115D"/>
    <w:rsid w:val="006E13A2"/>
    <w:rsid w:val="006E182E"/>
    <w:rsid w:val="006E1B36"/>
    <w:rsid w:val="006E1DA0"/>
    <w:rsid w:val="006E2039"/>
    <w:rsid w:val="006E237E"/>
    <w:rsid w:val="006E2459"/>
    <w:rsid w:val="006E269F"/>
    <w:rsid w:val="006E2849"/>
    <w:rsid w:val="006E28E9"/>
    <w:rsid w:val="006E2D39"/>
    <w:rsid w:val="006E3041"/>
    <w:rsid w:val="006E3049"/>
    <w:rsid w:val="006E305D"/>
    <w:rsid w:val="006E319A"/>
    <w:rsid w:val="006E31E7"/>
    <w:rsid w:val="006E3798"/>
    <w:rsid w:val="006E379E"/>
    <w:rsid w:val="006E3898"/>
    <w:rsid w:val="006E400C"/>
    <w:rsid w:val="006E412A"/>
    <w:rsid w:val="006E417B"/>
    <w:rsid w:val="006E437F"/>
    <w:rsid w:val="006E4501"/>
    <w:rsid w:val="006E452C"/>
    <w:rsid w:val="006E46E9"/>
    <w:rsid w:val="006E48DE"/>
    <w:rsid w:val="006E4C33"/>
    <w:rsid w:val="006E4EDA"/>
    <w:rsid w:val="006E535E"/>
    <w:rsid w:val="006E549C"/>
    <w:rsid w:val="006E54EF"/>
    <w:rsid w:val="006E5604"/>
    <w:rsid w:val="006E598A"/>
    <w:rsid w:val="006E5FF6"/>
    <w:rsid w:val="006E6344"/>
    <w:rsid w:val="006E657F"/>
    <w:rsid w:val="006E6DE9"/>
    <w:rsid w:val="006E7560"/>
    <w:rsid w:val="006E7761"/>
    <w:rsid w:val="006E77BD"/>
    <w:rsid w:val="006E79D8"/>
    <w:rsid w:val="006E7AE6"/>
    <w:rsid w:val="006E7BB2"/>
    <w:rsid w:val="006E7E0B"/>
    <w:rsid w:val="006F0422"/>
    <w:rsid w:val="006F067F"/>
    <w:rsid w:val="006F0719"/>
    <w:rsid w:val="006F0750"/>
    <w:rsid w:val="006F0786"/>
    <w:rsid w:val="006F07B9"/>
    <w:rsid w:val="006F08A1"/>
    <w:rsid w:val="006F0A1C"/>
    <w:rsid w:val="006F0C2F"/>
    <w:rsid w:val="006F0D9D"/>
    <w:rsid w:val="006F0F6C"/>
    <w:rsid w:val="006F1030"/>
    <w:rsid w:val="006F1038"/>
    <w:rsid w:val="006F114B"/>
    <w:rsid w:val="006F18D3"/>
    <w:rsid w:val="006F1D8A"/>
    <w:rsid w:val="006F20C7"/>
    <w:rsid w:val="006F27B8"/>
    <w:rsid w:val="006F356E"/>
    <w:rsid w:val="006F36DB"/>
    <w:rsid w:val="006F38F5"/>
    <w:rsid w:val="006F396B"/>
    <w:rsid w:val="006F3A77"/>
    <w:rsid w:val="006F3AA4"/>
    <w:rsid w:val="006F429E"/>
    <w:rsid w:val="006F432F"/>
    <w:rsid w:val="006F47F2"/>
    <w:rsid w:val="006F4F54"/>
    <w:rsid w:val="006F4FCB"/>
    <w:rsid w:val="006F504F"/>
    <w:rsid w:val="006F564F"/>
    <w:rsid w:val="006F570A"/>
    <w:rsid w:val="006F5A86"/>
    <w:rsid w:val="006F5DA6"/>
    <w:rsid w:val="006F5DA7"/>
    <w:rsid w:val="006F5F98"/>
    <w:rsid w:val="006F643C"/>
    <w:rsid w:val="006F65A4"/>
    <w:rsid w:val="006F6729"/>
    <w:rsid w:val="006F6D72"/>
    <w:rsid w:val="006F6E73"/>
    <w:rsid w:val="006F6F92"/>
    <w:rsid w:val="006F718C"/>
    <w:rsid w:val="006F71AA"/>
    <w:rsid w:val="006F7268"/>
    <w:rsid w:val="006F72E2"/>
    <w:rsid w:val="006F75DB"/>
    <w:rsid w:val="006F7984"/>
    <w:rsid w:val="006F7C0A"/>
    <w:rsid w:val="006F7DF0"/>
    <w:rsid w:val="006F7E32"/>
    <w:rsid w:val="006F7F33"/>
    <w:rsid w:val="006F7F4D"/>
    <w:rsid w:val="00700D12"/>
    <w:rsid w:val="00700D46"/>
    <w:rsid w:val="00701329"/>
    <w:rsid w:val="00701350"/>
    <w:rsid w:val="00701652"/>
    <w:rsid w:val="007018D3"/>
    <w:rsid w:val="00701BC6"/>
    <w:rsid w:val="00701C36"/>
    <w:rsid w:val="0070205E"/>
    <w:rsid w:val="00702187"/>
    <w:rsid w:val="0070233A"/>
    <w:rsid w:val="0070259B"/>
    <w:rsid w:val="0070259E"/>
    <w:rsid w:val="007025CC"/>
    <w:rsid w:val="00702619"/>
    <w:rsid w:val="007029C3"/>
    <w:rsid w:val="00702C6E"/>
    <w:rsid w:val="00702CD1"/>
    <w:rsid w:val="00702CE1"/>
    <w:rsid w:val="00702DA4"/>
    <w:rsid w:val="0070373B"/>
    <w:rsid w:val="00703BDA"/>
    <w:rsid w:val="00703CE7"/>
    <w:rsid w:val="00703D9E"/>
    <w:rsid w:val="007042C8"/>
    <w:rsid w:val="007043B2"/>
    <w:rsid w:val="00704495"/>
    <w:rsid w:val="0070453B"/>
    <w:rsid w:val="00704719"/>
    <w:rsid w:val="007049B3"/>
    <w:rsid w:val="00704B0B"/>
    <w:rsid w:val="00704E40"/>
    <w:rsid w:val="00704E9B"/>
    <w:rsid w:val="00704F58"/>
    <w:rsid w:val="00705102"/>
    <w:rsid w:val="0070517A"/>
    <w:rsid w:val="00705192"/>
    <w:rsid w:val="0070528D"/>
    <w:rsid w:val="007052B0"/>
    <w:rsid w:val="00705661"/>
    <w:rsid w:val="00705B37"/>
    <w:rsid w:val="00705D0B"/>
    <w:rsid w:val="0070671F"/>
    <w:rsid w:val="0070675C"/>
    <w:rsid w:val="00706998"/>
    <w:rsid w:val="00706CCA"/>
    <w:rsid w:val="00706F85"/>
    <w:rsid w:val="0070712F"/>
    <w:rsid w:val="00707169"/>
    <w:rsid w:val="00707EAD"/>
    <w:rsid w:val="00707F1D"/>
    <w:rsid w:val="00707FF8"/>
    <w:rsid w:val="007104D5"/>
    <w:rsid w:val="007108BC"/>
    <w:rsid w:val="007108EB"/>
    <w:rsid w:val="00710CAE"/>
    <w:rsid w:val="00710F0A"/>
    <w:rsid w:val="00711049"/>
    <w:rsid w:val="0071104C"/>
    <w:rsid w:val="00711151"/>
    <w:rsid w:val="00711212"/>
    <w:rsid w:val="00711468"/>
    <w:rsid w:val="00711837"/>
    <w:rsid w:val="00712008"/>
    <w:rsid w:val="0071216C"/>
    <w:rsid w:val="0071224A"/>
    <w:rsid w:val="007122C1"/>
    <w:rsid w:val="007123D0"/>
    <w:rsid w:val="0071257C"/>
    <w:rsid w:val="00712800"/>
    <w:rsid w:val="00712B31"/>
    <w:rsid w:val="00712C94"/>
    <w:rsid w:val="00712D06"/>
    <w:rsid w:val="00713002"/>
    <w:rsid w:val="007131BD"/>
    <w:rsid w:val="007133AA"/>
    <w:rsid w:val="0071345F"/>
    <w:rsid w:val="007135B7"/>
    <w:rsid w:val="00713650"/>
    <w:rsid w:val="00713680"/>
    <w:rsid w:val="0071387B"/>
    <w:rsid w:val="007139BE"/>
    <w:rsid w:val="00713A5E"/>
    <w:rsid w:val="00713B02"/>
    <w:rsid w:val="00713C1C"/>
    <w:rsid w:val="007141D7"/>
    <w:rsid w:val="0071423E"/>
    <w:rsid w:val="007144ED"/>
    <w:rsid w:val="00714954"/>
    <w:rsid w:val="0071507A"/>
    <w:rsid w:val="0071531C"/>
    <w:rsid w:val="007154E4"/>
    <w:rsid w:val="0071576C"/>
    <w:rsid w:val="00715CAA"/>
    <w:rsid w:val="00715CB2"/>
    <w:rsid w:val="00715DA6"/>
    <w:rsid w:val="00715DFB"/>
    <w:rsid w:val="00716090"/>
    <w:rsid w:val="0071619B"/>
    <w:rsid w:val="00716254"/>
    <w:rsid w:val="00716259"/>
    <w:rsid w:val="00716802"/>
    <w:rsid w:val="0071720A"/>
    <w:rsid w:val="007173CC"/>
    <w:rsid w:val="007173F9"/>
    <w:rsid w:val="0071755E"/>
    <w:rsid w:val="00717579"/>
    <w:rsid w:val="0071770C"/>
    <w:rsid w:val="0071788F"/>
    <w:rsid w:val="00717AC8"/>
    <w:rsid w:val="00717CD4"/>
    <w:rsid w:val="00717F54"/>
    <w:rsid w:val="00720356"/>
    <w:rsid w:val="00720545"/>
    <w:rsid w:val="00720D0A"/>
    <w:rsid w:val="00721401"/>
    <w:rsid w:val="007217AD"/>
    <w:rsid w:val="00721876"/>
    <w:rsid w:val="00721890"/>
    <w:rsid w:val="00721961"/>
    <w:rsid w:val="007219B0"/>
    <w:rsid w:val="00721D08"/>
    <w:rsid w:val="00722088"/>
    <w:rsid w:val="0072211D"/>
    <w:rsid w:val="00722898"/>
    <w:rsid w:val="00722BB2"/>
    <w:rsid w:val="0072305F"/>
    <w:rsid w:val="0072355B"/>
    <w:rsid w:val="007246F3"/>
    <w:rsid w:val="007248DB"/>
    <w:rsid w:val="00724E31"/>
    <w:rsid w:val="0072522E"/>
    <w:rsid w:val="007258A3"/>
    <w:rsid w:val="0072599C"/>
    <w:rsid w:val="00725E64"/>
    <w:rsid w:val="00725E97"/>
    <w:rsid w:val="007262A5"/>
    <w:rsid w:val="007263A0"/>
    <w:rsid w:val="007267F6"/>
    <w:rsid w:val="00726A48"/>
    <w:rsid w:val="00726E12"/>
    <w:rsid w:val="00726EE5"/>
    <w:rsid w:val="007270D9"/>
    <w:rsid w:val="00727374"/>
    <w:rsid w:val="007273B2"/>
    <w:rsid w:val="00727406"/>
    <w:rsid w:val="007274B8"/>
    <w:rsid w:val="007276E2"/>
    <w:rsid w:val="007278AF"/>
    <w:rsid w:val="00727E1F"/>
    <w:rsid w:val="0073043D"/>
    <w:rsid w:val="007309B5"/>
    <w:rsid w:val="00730B21"/>
    <w:rsid w:val="00730B49"/>
    <w:rsid w:val="00731004"/>
    <w:rsid w:val="0073150A"/>
    <w:rsid w:val="007319D3"/>
    <w:rsid w:val="00731ED9"/>
    <w:rsid w:val="00731FB3"/>
    <w:rsid w:val="00732215"/>
    <w:rsid w:val="00732262"/>
    <w:rsid w:val="007322B4"/>
    <w:rsid w:val="00732348"/>
    <w:rsid w:val="00732390"/>
    <w:rsid w:val="007323F3"/>
    <w:rsid w:val="007326DC"/>
    <w:rsid w:val="00732736"/>
    <w:rsid w:val="0073273E"/>
    <w:rsid w:val="007329A9"/>
    <w:rsid w:val="00732A4E"/>
    <w:rsid w:val="00732CFB"/>
    <w:rsid w:val="00732D02"/>
    <w:rsid w:val="00732DE2"/>
    <w:rsid w:val="00732EC6"/>
    <w:rsid w:val="00732F12"/>
    <w:rsid w:val="00733034"/>
    <w:rsid w:val="00733203"/>
    <w:rsid w:val="00733366"/>
    <w:rsid w:val="00733515"/>
    <w:rsid w:val="00733541"/>
    <w:rsid w:val="00733636"/>
    <w:rsid w:val="00733B45"/>
    <w:rsid w:val="00733C75"/>
    <w:rsid w:val="00733D10"/>
    <w:rsid w:val="00733D6D"/>
    <w:rsid w:val="00733EE3"/>
    <w:rsid w:val="00734184"/>
    <w:rsid w:val="007349CE"/>
    <w:rsid w:val="00734C46"/>
    <w:rsid w:val="00734D1D"/>
    <w:rsid w:val="00735041"/>
    <w:rsid w:val="00735170"/>
    <w:rsid w:val="007358C7"/>
    <w:rsid w:val="00735B7C"/>
    <w:rsid w:val="00736347"/>
    <w:rsid w:val="007368D9"/>
    <w:rsid w:val="00736A86"/>
    <w:rsid w:val="00736AD0"/>
    <w:rsid w:val="00736E4C"/>
    <w:rsid w:val="0073712C"/>
    <w:rsid w:val="0073798A"/>
    <w:rsid w:val="007379AE"/>
    <w:rsid w:val="00737DB9"/>
    <w:rsid w:val="00737E94"/>
    <w:rsid w:val="007405EC"/>
    <w:rsid w:val="0074080A"/>
    <w:rsid w:val="00740DCC"/>
    <w:rsid w:val="00740E1B"/>
    <w:rsid w:val="00740FFB"/>
    <w:rsid w:val="00741031"/>
    <w:rsid w:val="007412B2"/>
    <w:rsid w:val="00741425"/>
    <w:rsid w:val="00741811"/>
    <w:rsid w:val="007418C4"/>
    <w:rsid w:val="00741998"/>
    <w:rsid w:val="007419F9"/>
    <w:rsid w:val="00741C6A"/>
    <w:rsid w:val="00741CF0"/>
    <w:rsid w:val="00741FF9"/>
    <w:rsid w:val="0074239E"/>
    <w:rsid w:val="0074279F"/>
    <w:rsid w:val="007429E2"/>
    <w:rsid w:val="00742C32"/>
    <w:rsid w:val="00743476"/>
    <w:rsid w:val="0074378C"/>
    <w:rsid w:val="007438B0"/>
    <w:rsid w:val="00743912"/>
    <w:rsid w:val="00743921"/>
    <w:rsid w:val="00743AAE"/>
    <w:rsid w:val="007440D6"/>
    <w:rsid w:val="0074429A"/>
    <w:rsid w:val="007442D1"/>
    <w:rsid w:val="00744432"/>
    <w:rsid w:val="007445A7"/>
    <w:rsid w:val="00744A4C"/>
    <w:rsid w:val="00744DDC"/>
    <w:rsid w:val="00745346"/>
    <w:rsid w:val="007455F7"/>
    <w:rsid w:val="007457DF"/>
    <w:rsid w:val="00745926"/>
    <w:rsid w:val="007459CD"/>
    <w:rsid w:val="00745C33"/>
    <w:rsid w:val="00746091"/>
    <w:rsid w:val="00746210"/>
    <w:rsid w:val="007463DF"/>
    <w:rsid w:val="007464B8"/>
    <w:rsid w:val="007465A2"/>
    <w:rsid w:val="007465B8"/>
    <w:rsid w:val="0074664B"/>
    <w:rsid w:val="00746A50"/>
    <w:rsid w:val="00746AE3"/>
    <w:rsid w:val="00746AFF"/>
    <w:rsid w:val="00746B5A"/>
    <w:rsid w:val="007472E6"/>
    <w:rsid w:val="007476E3"/>
    <w:rsid w:val="00747A4E"/>
    <w:rsid w:val="007501AB"/>
    <w:rsid w:val="007501EE"/>
    <w:rsid w:val="00750264"/>
    <w:rsid w:val="00750312"/>
    <w:rsid w:val="007504EB"/>
    <w:rsid w:val="00750519"/>
    <w:rsid w:val="00750907"/>
    <w:rsid w:val="00750C7B"/>
    <w:rsid w:val="00750E40"/>
    <w:rsid w:val="0075100B"/>
    <w:rsid w:val="00751272"/>
    <w:rsid w:val="00751549"/>
    <w:rsid w:val="00751747"/>
    <w:rsid w:val="007519D9"/>
    <w:rsid w:val="00751D04"/>
    <w:rsid w:val="00752846"/>
    <w:rsid w:val="00752909"/>
    <w:rsid w:val="007529B2"/>
    <w:rsid w:val="00752F0D"/>
    <w:rsid w:val="007532E1"/>
    <w:rsid w:val="00753479"/>
    <w:rsid w:val="007537B6"/>
    <w:rsid w:val="00753AD5"/>
    <w:rsid w:val="00753F04"/>
    <w:rsid w:val="0075491D"/>
    <w:rsid w:val="00754AAD"/>
    <w:rsid w:val="00754AD7"/>
    <w:rsid w:val="00754DF6"/>
    <w:rsid w:val="0075524F"/>
    <w:rsid w:val="00755B7D"/>
    <w:rsid w:val="00755CD0"/>
    <w:rsid w:val="00755D28"/>
    <w:rsid w:val="00755DD4"/>
    <w:rsid w:val="007562CE"/>
    <w:rsid w:val="0075648D"/>
    <w:rsid w:val="0075665D"/>
    <w:rsid w:val="007568B3"/>
    <w:rsid w:val="007569A5"/>
    <w:rsid w:val="00756EA2"/>
    <w:rsid w:val="007570F4"/>
    <w:rsid w:val="00757473"/>
    <w:rsid w:val="00757992"/>
    <w:rsid w:val="00757A5E"/>
    <w:rsid w:val="00757B8A"/>
    <w:rsid w:val="00757EBD"/>
    <w:rsid w:val="007600F2"/>
    <w:rsid w:val="007601DA"/>
    <w:rsid w:val="0076032E"/>
    <w:rsid w:val="007603A0"/>
    <w:rsid w:val="007603E9"/>
    <w:rsid w:val="007603F7"/>
    <w:rsid w:val="00760A0D"/>
    <w:rsid w:val="00760D16"/>
    <w:rsid w:val="00760EA5"/>
    <w:rsid w:val="00760F1D"/>
    <w:rsid w:val="0076103D"/>
    <w:rsid w:val="00761405"/>
    <w:rsid w:val="007615CB"/>
    <w:rsid w:val="0076177C"/>
    <w:rsid w:val="007617DD"/>
    <w:rsid w:val="00761BB4"/>
    <w:rsid w:val="00761EF8"/>
    <w:rsid w:val="00762752"/>
    <w:rsid w:val="00762F26"/>
    <w:rsid w:val="00763091"/>
    <w:rsid w:val="007630C2"/>
    <w:rsid w:val="0076388F"/>
    <w:rsid w:val="0076399E"/>
    <w:rsid w:val="007639CB"/>
    <w:rsid w:val="00763EBF"/>
    <w:rsid w:val="00764230"/>
    <w:rsid w:val="0076434C"/>
    <w:rsid w:val="007644C4"/>
    <w:rsid w:val="007645B9"/>
    <w:rsid w:val="007645CB"/>
    <w:rsid w:val="007645D0"/>
    <w:rsid w:val="007645D1"/>
    <w:rsid w:val="007646DF"/>
    <w:rsid w:val="00764718"/>
    <w:rsid w:val="0076472A"/>
    <w:rsid w:val="007647AE"/>
    <w:rsid w:val="007649E0"/>
    <w:rsid w:val="00764AA2"/>
    <w:rsid w:val="00764D96"/>
    <w:rsid w:val="0076513B"/>
    <w:rsid w:val="0076517E"/>
    <w:rsid w:val="007652A8"/>
    <w:rsid w:val="00765401"/>
    <w:rsid w:val="0076584F"/>
    <w:rsid w:val="007658E8"/>
    <w:rsid w:val="00765BF5"/>
    <w:rsid w:val="00765CF8"/>
    <w:rsid w:val="00766023"/>
    <w:rsid w:val="007661C2"/>
    <w:rsid w:val="00766789"/>
    <w:rsid w:val="00766823"/>
    <w:rsid w:val="007668C6"/>
    <w:rsid w:val="00766BAD"/>
    <w:rsid w:val="00766DC6"/>
    <w:rsid w:val="0076760A"/>
    <w:rsid w:val="00767753"/>
    <w:rsid w:val="00767974"/>
    <w:rsid w:val="00767A98"/>
    <w:rsid w:val="00767B71"/>
    <w:rsid w:val="00767D60"/>
    <w:rsid w:val="00767DDA"/>
    <w:rsid w:val="007702F4"/>
    <w:rsid w:val="007704ED"/>
    <w:rsid w:val="00770568"/>
    <w:rsid w:val="0077122C"/>
    <w:rsid w:val="007718C8"/>
    <w:rsid w:val="0077190B"/>
    <w:rsid w:val="007719B1"/>
    <w:rsid w:val="00771C2B"/>
    <w:rsid w:val="00771FF5"/>
    <w:rsid w:val="007720A1"/>
    <w:rsid w:val="007721B9"/>
    <w:rsid w:val="00772231"/>
    <w:rsid w:val="007722BC"/>
    <w:rsid w:val="007725B3"/>
    <w:rsid w:val="00772847"/>
    <w:rsid w:val="00772AEA"/>
    <w:rsid w:val="00772CAA"/>
    <w:rsid w:val="0077341D"/>
    <w:rsid w:val="00773441"/>
    <w:rsid w:val="00773AC2"/>
    <w:rsid w:val="00773B40"/>
    <w:rsid w:val="00773C67"/>
    <w:rsid w:val="0077463F"/>
    <w:rsid w:val="0077497B"/>
    <w:rsid w:val="00774D1E"/>
    <w:rsid w:val="00774E34"/>
    <w:rsid w:val="00774EE2"/>
    <w:rsid w:val="00774F4B"/>
    <w:rsid w:val="00775234"/>
    <w:rsid w:val="0077525D"/>
    <w:rsid w:val="00775352"/>
    <w:rsid w:val="007753FA"/>
    <w:rsid w:val="00775410"/>
    <w:rsid w:val="007758DC"/>
    <w:rsid w:val="00775C6F"/>
    <w:rsid w:val="00775DDF"/>
    <w:rsid w:val="00775EC0"/>
    <w:rsid w:val="0077654C"/>
    <w:rsid w:val="007766D9"/>
    <w:rsid w:val="007767D6"/>
    <w:rsid w:val="00776AEA"/>
    <w:rsid w:val="00776CBD"/>
    <w:rsid w:val="00776D09"/>
    <w:rsid w:val="00776EA9"/>
    <w:rsid w:val="00776EF8"/>
    <w:rsid w:val="0077742D"/>
    <w:rsid w:val="0077764D"/>
    <w:rsid w:val="0077770F"/>
    <w:rsid w:val="007779E6"/>
    <w:rsid w:val="00777AD2"/>
    <w:rsid w:val="00777B75"/>
    <w:rsid w:val="007800B2"/>
    <w:rsid w:val="00780154"/>
    <w:rsid w:val="00780377"/>
    <w:rsid w:val="00780429"/>
    <w:rsid w:val="00780625"/>
    <w:rsid w:val="0078068A"/>
    <w:rsid w:val="00780A04"/>
    <w:rsid w:val="00780A5A"/>
    <w:rsid w:val="007810B7"/>
    <w:rsid w:val="0078147B"/>
    <w:rsid w:val="007816CE"/>
    <w:rsid w:val="00781808"/>
    <w:rsid w:val="00781ABC"/>
    <w:rsid w:val="00781EAA"/>
    <w:rsid w:val="00782071"/>
    <w:rsid w:val="007822EC"/>
    <w:rsid w:val="007823C7"/>
    <w:rsid w:val="007824A9"/>
    <w:rsid w:val="00782E21"/>
    <w:rsid w:val="00782EFF"/>
    <w:rsid w:val="00782F80"/>
    <w:rsid w:val="00782FC5"/>
    <w:rsid w:val="00783234"/>
    <w:rsid w:val="00783424"/>
    <w:rsid w:val="00783587"/>
    <w:rsid w:val="007835C7"/>
    <w:rsid w:val="0078369A"/>
    <w:rsid w:val="007836F8"/>
    <w:rsid w:val="007838BD"/>
    <w:rsid w:val="00783ADB"/>
    <w:rsid w:val="00783B6D"/>
    <w:rsid w:val="00783E43"/>
    <w:rsid w:val="00783F9E"/>
    <w:rsid w:val="007840E9"/>
    <w:rsid w:val="0078468D"/>
    <w:rsid w:val="00784B0A"/>
    <w:rsid w:val="00784DD8"/>
    <w:rsid w:val="00784EDC"/>
    <w:rsid w:val="0078507D"/>
    <w:rsid w:val="00785161"/>
    <w:rsid w:val="00785412"/>
    <w:rsid w:val="00785CA6"/>
    <w:rsid w:val="007863D1"/>
    <w:rsid w:val="00786707"/>
    <w:rsid w:val="00786987"/>
    <w:rsid w:val="00786D60"/>
    <w:rsid w:val="00786E8B"/>
    <w:rsid w:val="00787061"/>
    <w:rsid w:val="0078719C"/>
    <w:rsid w:val="00787323"/>
    <w:rsid w:val="0078745C"/>
    <w:rsid w:val="0078787D"/>
    <w:rsid w:val="00787E4E"/>
    <w:rsid w:val="007900DF"/>
    <w:rsid w:val="007903F6"/>
    <w:rsid w:val="0079049A"/>
    <w:rsid w:val="0079077C"/>
    <w:rsid w:val="007907FB"/>
    <w:rsid w:val="007909C7"/>
    <w:rsid w:val="007911FB"/>
    <w:rsid w:val="00791245"/>
    <w:rsid w:val="007913BB"/>
    <w:rsid w:val="007914F2"/>
    <w:rsid w:val="00791600"/>
    <w:rsid w:val="00791753"/>
    <w:rsid w:val="007917EA"/>
    <w:rsid w:val="007918C6"/>
    <w:rsid w:val="00791DD5"/>
    <w:rsid w:val="00792091"/>
    <w:rsid w:val="007923F2"/>
    <w:rsid w:val="007924A7"/>
    <w:rsid w:val="00792B7D"/>
    <w:rsid w:val="00792C91"/>
    <w:rsid w:val="00792D20"/>
    <w:rsid w:val="00792DEF"/>
    <w:rsid w:val="00793766"/>
    <w:rsid w:val="007937CE"/>
    <w:rsid w:val="007938D6"/>
    <w:rsid w:val="0079403C"/>
    <w:rsid w:val="007947E5"/>
    <w:rsid w:val="00794E1D"/>
    <w:rsid w:val="00794FE4"/>
    <w:rsid w:val="00795125"/>
    <w:rsid w:val="00795518"/>
    <w:rsid w:val="007955B0"/>
    <w:rsid w:val="0079567D"/>
    <w:rsid w:val="00795835"/>
    <w:rsid w:val="0079587E"/>
    <w:rsid w:val="00795B8B"/>
    <w:rsid w:val="00795DE6"/>
    <w:rsid w:val="00796094"/>
    <w:rsid w:val="007962AD"/>
    <w:rsid w:val="0079639A"/>
    <w:rsid w:val="007965DC"/>
    <w:rsid w:val="00796784"/>
    <w:rsid w:val="00796839"/>
    <w:rsid w:val="0079744F"/>
    <w:rsid w:val="00797464"/>
    <w:rsid w:val="00797864"/>
    <w:rsid w:val="00797D04"/>
    <w:rsid w:val="00797D20"/>
    <w:rsid w:val="007A04B6"/>
    <w:rsid w:val="007A0CB1"/>
    <w:rsid w:val="007A11BB"/>
    <w:rsid w:val="007A17EB"/>
    <w:rsid w:val="007A1864"/>
    <w:rsid w:val="007A1918"/>
    <w:rsid w:val="007A1EC4"/>
    <w:rsid w:val="007A22D3"/>
    <w:rsid w:val="007A23BC"/>
    <w:rsid w:val="007A2442"/>
    <w:rsid w:val="007A2656"/>
    <w:rsid w:val="007A2721"/>
    <w:rsid w:val="007A276E"/>
    <w:rsid w:val="007A27BA"/>
    <w:rsid w:val="007A2BAF"/>
    <w:rsid w:val="007A2C17"/>
    <w:rsid w:val="007A2C40"/>
    <w:rsid w:val="007A2DA4"/>
    <w:rsid w:val="007A2DA7"/>
    <w:rsid w:val="007A2EED"/>
    <w:rsid w:val="007A3257"/>
    <w:rsid w:val="007A3263"/>
    <w:rsid w:val="007A32B7"/>
    <w:rsid w:val="007A33C0"/>
    <w:rsid w:val="007A3631"/>
    <w:rsid w:val="007A37B9"/>
    <w:rsid w:val="007A3900"/>
    <w:rsid w:val="007A3BA4"/>
    <w:rsid w:val="007A3C22"/>
    <w:rsid w:val="007A3F3B"/>
    <w:rsid w:val="007A41D1"/>
    <w:rsid w:val="007A4362"/>
    <w:rsid w:val="007A492D"/>
    <w:rsid w:val="007A4970"/>
    <w:rsid w:val="007A4ACB"/>
    <w:rsid w:val="007A4E9A"/>
    <w:rsid w:val="007A50EE"/>
    <w:rsid w:val="007A52EB"/>
    <w:rsid w:val="007A53AD"/>
    <w:rsid w:val="007A5853"/>
    <w:rsid w:val="007A58E5"/>
    <w:rsid w:val="007A5DD9"/>
    <w:rsid w:val="007A5F05"/>
    <w:rsid w:val="007A5F6B"/>
    <w:rsid w:val="007A64FF"/>
    <w:rsid w:val="007A684B"/>
    <w:rsid w:val="007A68CA"/>
    <w:rsid w:val="007A6C6E"/>
    <w:rsid w:val="007A6F86"/>
    <w:rsid w:val="007A6FC5"/>
    <w:rsid w:val="007A751A"/>
    <w:rsid w:val="007A7780"/>
    <w:rsid w:val="007A79B6"/>
    <w:rsid w:val="007B003B"/>
    <w:rsid w:val="007B0237"/>
    <w:rsid w:val="007B0289"/>
    <w:rsid w:val="007B05AA"/>
    <w:rsid w:val="007B0B8E"/>
    <w:rsid w:val="007B0CE8"/>
    <w:rsid w:val="007B112C"/>
    <w:rsid w:val="007B1334"/>
    <w:rsid w:val="007B1574"/>
    <w:rsid w:val="007B1740"/>
    <w:rsid w:val="007B1859"/>
    <w:rsid w:val="007B1BFD"/>
    <w:rsid w:val="007B1C5C"/>
    <w:rsid w:val="007B2015"/>
    <w:rsid w:val="007B2029"/>
    <w:rsid w:val="007B258A"/>
    <w:rsid w:val="007B25E5"/>
    <w:rsid w:val="007B2613"/>
    <w:rsid w:val="007B2770"/>
    <w:rsid w:val="007B2A61"/>
    <w:rsid w:val="007B2C99"/>
    <w:rsid w:val="007B2CC2"/>
    <w:rsid w:val="007B2D71"/>
    <w:rsid w:val="007B2E52"/>
    <w:rsid w:val="007B2E75"/>
    <w:rsid w:val="007B2ECF"/>
    <w:rsid w:val="007B30E0"/>
    <w:rsid w:val="007B32F5"/>
    <w:rsid w:val="007B3461"/>
    <w:rsid w:val="007B35DB"/>
    <w:rsid w:val="007B37A0"/>
    <w:rsid w:val="007B3849"/>
    <w:rsid w:val="007B39AF"/>
    <w:rsid w:val="007B3B61"/>
    <w:rsid w:val="007B3BDC"/>
    <w:rsid w:val="007B3E99"/>
    <w:rsid w:val="007B3F8B"/>
    <w:rsid w:val="007B4115"/>
    <w:rsid w:val="007B41EC"/>
    <w:rsid w:val="007B47B9"/>
    <w:rsid w:val="007B49FD"/>
    <w:rsid w:val="007B4A95"/>
    <w:rsid w:val="007B4BA1"/>
    <w:rsid w:val="007B4E9F"/>
    <w:rsid w:val="007B50A8"/>
    <w:rsid w:val="007B511E"/>
    <w:rsid w:val="007B583E"/>
    <w:rsid w:val="007B5B32"/>
    <w:rsid w:val="007B5D37"/>
    <w:rsid w:val="007B6190"/>
    <w:rsid w:val="007B61D6"/>
    <w:rsid w:val="007B668F"/>
    <w:rsid w:val="007B66C9"/>
    <w:rsid w:val="007B6966"/>
    <w:rsid w:val="007B6D1C"/>
    <w:rsid w:val="007B6D28"/>
    <w:rsid w:val="007B6E32"/>
    <w:rsid w:val="007B6EEA"/>
    <w:rsid w:val="007B77C0"/>
    <w:rsid w:val="007B786A"/>
    <w:rsid w:val="007B78B7"/>
    <w:rsid w:val="007B79DA"/>
    <w:rsid w:val="007B7CA9"/>
    <w:rsid w:val="007B7FEC"/>
    <w:rsid w:val="007C034F"/>
    <w:rsid w:val="007C0819"/>
    <w:rsid w:val="007C0888"/>
    <w:rsid w:val="007C0949"/>
    <w:rsid w:val="007C09F1"/>
    <w:rsid w:val="007C0BF2"/>
    <w:rsid w:val="007C0ECE"/>
    <w:rsid w:val="007C15F8"/>
    <w:rsid w:val="007C17CA"/>
    <w:rsid w:val="007C1872"/>
    <w:rsid w:val="007C1A8E"/>
    <w:rsid w:val="007C2113"/>
    <w:rsid w:val="007C21C1"/>
    <w:rsid w:val="007C22DE"/>
    <w:rsid w:val="007C22F4"/>
    <w:rsid w:val="007C2475"/>
    <w:rsid w:val="007C2AD4"/>
    <w:rsid w:val="007C2DA8"/>
    <w:rsid w:val="007C2F68"/>
    <w:rsid w:val="007C3324"/>
    <w:rsid w:val="007C38B1"/>
    <w:rsid w:val="007C38ED"/>
    <w:rsid w:val="007C3DFD"/>
    <w:rsid w:val="007C4095"/>
    <w:rsid w:val="007C4EEB"/>
    <w:rsid w:val="007C51EC"/>
    <w:rsid w:val="007C53B6"/>
    <w:rsid w:val="007C58B5"/>
    <w:rsid w:val="007C5B10"/>
    <w:rsid w:val="007C5B8C"/>
    <w:rsid w:val="007C5C91"/>
    <w:rsid w:val="007C5EAF"/>
    <w:rsid w:val="007C61A3"/>
    <w:rsid w:val="007C64EB"/>
    <w:rsid w:val="007C6614"/>
    <w:rsid w:val="007C67B4"/>
    <w:rsid w:val="007C6E2C"/>
    <w:rsid w:val="007C7065"/>
    <w:rsid w:val="007C7154"/>
    <w:rsid w:val="007C71BA"/>
    <w:rsid w:val="007C74B6"/>
    <w:rsid w:val="007C7547"/>
    <w:rsid w:val="007C77E9"/>
    <w:rsid w:val="007C7BA2"/>
    <w:rsid w:val="007C7BF2"/>
    <w:rsid w:val="007C7E0E"/>
    <w:rsid w:val="007C7EF8"/>
    <w:rsid w:val="007C7FD3"/>
    <w:rsid w:val="007D0083"/>
    <w:rsid w:val="007D008B"/>
    <w:rsid w:val="007D011B"/>
    <w:rsid w:val="007D04E0"/>
    <w:rsid w:val="007D0792"/>
    <w:rsid w:val="007D07AB"/>
    <w:rsid w:val="007D086A"/>
    <w:rsid w:val="007D0A4F"/>
    <w:rsid w:val="007D0BBA"/>
    <w:rsid w:val="007D0DB1"/>
    <w:rsid w:val="007D10BB"/>
    <w:rsid w:val="007D1128"/>
    <w:rsid w:val="007D1521"/>
    <w:rsid w:val="007D1BD0"/>
    <w:rsid w:val="007D1D1F"/>
    <w:rsid w:val="007D1DD3"/>
    <w:rsid w:val="007D2292"/>
    <w:rsid w:val="007D23C2"/>
    <w:rsid w:val="007D291E"/>
    <w:rsid w:val="007D2BEF"/>
    <w:rsid w:val="007D32AA"/>
    <w:rsid w:val="007D334B"/>
    <w:rsid w:val="007D3416"/>
    <w:rsid w:val="007D361F"/>
    <w:rsid w:val="007D3C8C"/>
    <w:rsid w:val="007D40CB"/>
    <w:rsid w:val="007D47FE"/>
    <w:rsid w:val="007D48A8"/>
    <w:rsid w:val="007D48CB"/>
    <w:rsid w:val="007D4A97"/>
    <w:rsid w:val="007D4BA7"/>
    <w:rsid w:val="007D4BD3"/>
    <w:rsid w:val="007D5082"/>
    <w:rsid w:val="007D5196"/>
    <w:rsid w:val="007D51B8"/>
    <w:rsid w:val="007D5702"/>
    <w:rsid w:val="007D5796"/>
    <w:rsid w:val="007D5A23"/>
    <w:rsid w:val="007D5D4E"/>
    <w:rsid w:val="007D5F36"/>
    <w:rsid w:val="007D60C4"/>
    <w:rsid w:val="007D61BE"/>
    <w:rsid w:val="007D627F"/>
    <w:rsid w:val="007D645D"/>
    <w:rsid w:val="007D6560"/>
    <w:rsid w:val="007D6609"/>
    <w:rsid w:val="007D750B"/>
    <w:rsid w:val="007D7B74"/>
    <w:rsid w:val="007D7C17"/>
    <w:rsid w:val="007D7C66"/>
    <w:rsid w:val="007E0A9E"/>
    <w:rsid w:val="007E0C20"/>
    <w:rsid w:val="007E103C"/>
    <w:rsid w:val="007E1055"/>
    <w:rsid w:val="007E14A0"/>
    <w:rsid w:val="007E1891"/>
    <w:rsid w:val="007E1C0F"/>
    <w:rsid w:val="007E1FE1"/>
    <w:rsid w:val="007E2203"/>
    <w:rsid w:val="007E258B"/>
    <w:rsid w:val="007E2624"/>
    <w:rsid w:val="007E2D51"/>
    <w:rsid w:val="007E313D"/>
    <w:rsid w:val="007E338B"/>
    <w:rsid w:val="007E36C4"/>
    <w:rsid w:val="007E3BE1"/>
    <w:rsid w:val="007E3EF4"/>
    <w:rsid w:val="007E405D"/>
    <w:rsid w:val="007E439B"/>
    <w:rsid w:val="007E4479"/>
    <w:rsid w:val="007E48FF"/>
    <w:rsid w:val="007E49B1"/>
    <w:rsid w:val="007E4B6A"/>
    <w:rsid w:val="007E4C20"/>
    <w:rsid w:val="007E4F90"/>
    <w:rsid w:val="007E527C"/>
    <w:rsid w:val="007E553D"/>
    <w:rsid w:val="007E56A3"/>
    <w:rsid w:val="007E583A"/>
    <w:rsid w:val="007E5D8A"/>
    <w:rsid w:val="007E61C1"/>
    <w:rsid w:val="007E6240"/>
    <w:rsid w:val="007E62C4"/>
    <w:rsid w:val="007E635D"/>
    <w:rsid w:val="007E63A9"/>
    <w:rsid w:val="007E65B3"/>
    <w:rsid w:val="007E67CB"/>
    <w:rsid w:val="007E698C"/>
    <w:rsid w:val="007E6DBA"/>
    <w:rsid w:val="007E6FA5"/>
    <w:rsid w:val="007E717B"/>
    <w:rsid w:val="007E72EC"/>
    <w:rsid w:val="007E741B"/>
    <w:rsid w:val="007E751A"/>
    <w:rsid w:val="007E751D"/>
    <w:rsid w:val="007E7731"/>
    <w:rsid w:val="007E78D4"/>
    <w:rsid w:val="007E7D2E"/>
    <w:rsid w:val="007F000E"/>
    <w:rsid w:val="007F002E"/>
    <w:rsid w:val="007F05BD"/>
    <w:rsid w:val="007F0626"/>
    <w:rsid w:val="007F0A7F"/>
    <w:rsid w:val="007F0A8D"/>
    <w:rsid w:val="007F0C32"/>
    <w:rsid w:val="007F0D22"/>
    <w:rsid w:val="007F0D73"/>
    <w:rsid w:val="007F0DB8"/>
    <w:rsid w:val="007F1402"/>
    <w:rsid w:val="007F168E"/>
    <w:rsid w:val="007F19F8"/>
    <w:rsid w:val="007F1B1F"/>
    <w:rsid w:val="007F24D2"/>
    <w:rsid w:val="007F29A8"/>
    <w:rsid w:val="007F29AA"/>
    <w:rsid w:val="007F29CE"/>
    <w:rsid w:val="007F2C46"/>
    <w:rsid w:val="007F2F41"/>
    <w:rsid w:val="007F3309"/>
    <w:rsid w:val="007F34D0"/>
    <w:rsid w:val="007F34F0"/>
    <w:rsid w:val="007F381F"/>
    <w:rsid w:val="007F39C4"/>
    <w:rsid w:val="007F3C9F"/>
    <w:rsid w:val="007F4198"/>
    <w:rsid w:val="007F41DE"/>
    <w:rsid w:val="007F443C"/>
    <w:rsid w:val="007F4711"/>
    <w:rsid w:val="007F4CF8"/>
    <w:rsid w:val="007F51D1"/>
    <w:rsid w:val="007F54DA"/>
    <w:rsid w:val="007F5537"/>
    <w:rsid w:val="007F5545"/>
    <w:rsid w:val="007F55D8"/>
    <w:rsid w:val="007F55FE"/>
    <w:rsid w:val="007F5649"/>
    <w:rsid w:val="007F5675"/>
    <w:rsid w:val="007F5950"/>
    <w:rsid w:val="007F5A4E"/>
    <w:rsid w:val="007F5E92"/>
    <w:rsid w:val="007F65E5"/>
    <w:rsid w:val="007F68EA"/>
    <w:rsid w:val="007F6C45"/>
    <w:rsid w:val="007F6D31"/>
    <w:rsid w:val="007F6F8B"/>
    <w:rsid w:val="007F7148"/>
    <w:rsid w:val="007F7618"/>
    <w:rsid w:val="007F7A9D"/>
    <w:rsid w:val="007F7AB1"/>
    <w:rsid w:val="007F7E17"/>
    <w:rsid w:val="007F7E34"/>
    <w:rsid w:val="008001E9"/>
    <w:rsid w:val="00800219"/>
    <w:rsid w:val="0080023A"/>
    <w:rsid w:val="0080053D"/>
    <w:rsid w:val="00800551"/>
    <w:rsid w:val="008008ED"/>
    <w:rsid w:val="00800934"/>
    <w:rsid w:val="00800C54"/>
    <w:rsid w:val="00800DF2"/>
    <w:rsid w:val="0080101C"/>
    <w:rsid w:val="008012D2"/>
    <w:rsid w:val="0080130E"/>
    <w:rsid w:val="008013F1"/>
    <w:rsid w:val="0080192D"/>
    <w:rsid w:val="00801DE0"/>
    <w:rsid w:val="00801F80"/>
    <w:rsid w:val="00802107"/>
    <w:rsid w:val="00802237"/>
    <w:rsid w:val="008022F9"/>
    <w:rsid w:val="00802436"/>
    <w:rsid w:val="008025C2"/>
    <w:rsid w:val="008028DF"/>
    <w:rsid w:val="008029EF"/>
    <w:rsid w:val="00802BF1"/>
    <w:rsid w:val="0080319C"/>
    <w:rsid w:val="008033DB"/>
    <w:rsid w:val="00803BB8"/>
    <w:rsid w:val="008043C6"/>
    <w:rsid w:val="00804809"/>
    <w:rsid w:val="008049DD"/>
    <w:rsid w:val="00804AA9"/>
    <w:rsid w:val="00804E9F"/>
    <w:rsid w:val="00805521"/>
    <w:rsid w:val="00805616"/>
    <w:rsid w:val="008057DB"/>
    <w:rsid w:val="00805980"/>
    <w:rsid w:val="008059AE"/>
    <w:rsid w:val="0080604B"/>
    <w:rsid w:val="008060CB"/>
    <w:rsid w:val="008060D3"/>
    <w:rsid w:val="00806568"/>
    <w:rsid w:val="00806624"/>
    <w:rsid w:val="00806809"/>
    <w:rsid w:val="0080696F"/>
    <w:rsid w:val="00806EA1"/>
    <w:rsid w:val="00807162"/>
    <w:rsid w:val="008071C5"/>
    <w:rsid w:val="00807201"/>
    <w:rsid w:val="00807213"/>
    <w:rsid w:val="0080739C"/>
    <w:rsid w:val="00807758"/>
    <w:rsid w:val="008079DC"/>
    <w:rsid w:val="00807C88"/>
    <w:rsid w:val="00807FB1"/>
    <w:rsid w:val="008101E4"/>
    <w:rsid w:val="0081050E"/>
    <w:rsid w:val="0081080D"/>
    <w:rsid w:val="008109AE"/>
    <w:rsid w:val="00810D33"/>
    <w:rsid w:val="00810D55"/>
    <w:rsid w:val="00810EDA"/>
    <w:rsid w:val="008110BC"/>
    <w:rsid w:val="0081134A"/>
    <w:rsid w:val="00811451"/>
    <w:rsid w:val="0081161C"/>
    <w:rsid w:val="00811678"/>
    <w:rsid w:val="008118B4"/>
    <w:rsid w:val="00811B59"/>
    <w:rsid w:val="00811D8F"/>
    <w:rsid w:val="00811E01"/>
    <w:rsid w:val="00811FF2"/>
    <w:rsid w:val="0081224C"/>
    <w:rsid w:val="00812609"/>
    <w:rsid w:val="00812637"/>
    <w:rsid w:val="008128F3"/>
    <w:rsid w:val="00812A37"/>
    <w:rsid w:val="00812B80"/>
    <w:rsid w:val="00812B8D"/>
    <w:rsid w:val="00812BB8"/>
    <w:rsid w:val="00812E18"/>
    <w:rsid w:val="00812E38"/>
    <w:rsid w:val="008130D3"/>
    <w:rsid w:val="008132B5"/>
    <w:rsid w:val="008132ED"/>
    <w:rsid w:val="008141A8"/>
    <w:rsid w:val="008142F4"/>
    <w:rsid w:val="008147F8"/>
    <w:rsid w:val="0081497F"/>
    <w:rsid w:val="00814D94"/>
    <w:rsid w:val="008150EC"/>
    <w:rsid w:val="0081532E"/>
    <w:rsid w:val="008153F8"/>
    <w:rsid w:val="00815698"/>
    <w:rsid w:val="00815DBE"/>
    <w:rsid w:val="008160D0"/>
    <w:rsid w:val="008161B4"/>
    <w:rsid w:val="00816288"/>
    <w:rsid w:val="0081656A"/>
    <w:rsid w:val="008165A3"/>
    <w:rsid w:val="0081663C"/>
    <w:rsid w:val="008167D5"/>
    <w:rsid w:val="008167E3"/>
    <w:rsid w:val="00816895"/>
    <w:rsid w:val="008169F5"/>
    <w:rsid w:val="00816A8C"/>
    <w:rsid w:val="00816BE3"/>
    <w:rsid w:val="00816BE7"/>
    <w:rsid w:val="00816E14"/>
    <w:rsid w:val="0081706B"/>
    <w:rsid w:val="0081749D"/>
    <w:rsid w:val="00817585"/>
    <w:rsid w:val="00817634"/>
    <w:rsid w:val="00817873"/>
    <w:rsid w:val="00817DB6"/>
    <w:rsid w:val="00817E46"/>
    <w:rsid w:val="00817E75"/>
    <w:rsid w:val="0082032B"/>
    <w:rsid w:val="008204ED"/>
    <w:rsid w:val="00820794"/>
    <w:rsid w:val="0082099C"/>
    <w:rsid w:val="00821032"/>
    <w:rsid w:val="008211AA"/>
    <w:rsid w:val="00821291"/>
    <w:rsid w:val="00821491"/>
    <w:rsid w:val="008214C5"/>
    <w:rsid w:val="00821756"/>
    <w:rsid w:val="00821CD9"/>
    <w:rsid w:val="0082218E"/>
    <w:rsid w:val="00822990"/>
    <w:rsid w:val="00823160"/>
    <w:rsid w:val="00823461"/>
    <w:rsid w:val="008234CC"/>
    <w:rsid w:val="008234E2"/>
    <w:rsid w:val="00823998"/>
    <w:rsid w:val="008239F4"/>
    <w:rsid w:val="00823BE9"/>
    <w:rsid w:val="00823CFC"/>
    <w:rsid w:val="008240AF"/>
    <w:rsid w:val="008241AA"/>
    <w:rsid w:val="0082484E"/>
    <w:rsid w:val="00824A93"/>
    <w:rsid w:val="00824EC8"/>
    <w:rsid w:val="0082541C"/>
    <w:rsid w:val="0082546B"/>
    <w:rsid w:val="00825658"/>
    <w:rsid w:val="00825703"/>
    <w:rsid w:val="008257C0"/>
    <w:rsid w:val="00825815"/>
    <w:rsid w:val="00825A76"/>
    <w:rsid w:val="00825D0F"/>
    <w:rsid w:val="00825DD8"/>
    <w:rsid w:val="00825EE9"/>
    <w:rsid w:val="00825F4F"/>
    <w:rsid w:val="008261A1"/>
    <w:rsid w:val="0082631F"/>
    <w:rsid w:val="008264AE"/>
    <w:rsid w:val="008264B2"/>
    <w:rsid w:val="0082671F"/>
    <w:rsid w:val="0082688C"/>
    <w:rsid w:val="00826ACA"/>
    <w:rsid w:val="0082709D"/>
    <w:rsid w:val="008270F4"/>
    <w:rsid w:val="00827645"/>
    <w:rsid w:val="008277D5"/>
    <w:rsid w:val="00827C59"/>
    <w:rsid w:val="00827D95"/>
    <w:rsid w:val="00827FFA"/>
    <w:rsid w:val="00830060"/>
    <w:rsid w:val="008300EE"/>
    <w:rsid w:val="008301E2"/>
    <w:rsid w:val="00830F9F"/>
    <w:rsid w:val="00831132"/>
    <w:rsid w:val="00831273"/>
    <w:rsid w:val="0083140B"/>
    <w:rsid w:val="00831890"/>
    <w:rsid w:val="008319A3"/>
    <w:rsid w:val="008319BB"/>
    <w:rsid w:val="00831A88"/>
    <w:rsid w:val="00831E00"/>
    <w:rsid w:val="00832087"/>
    <w:rsid w:val="00832699"/>
    <w:rsid w:val="00832701"/>
    <w:rsid w:val="00832972"/>
    <w:rsid w:val="00832C97"/>
    <w:rsid w:val="00832CBC"/>
    <w:rsid w:val="00832F62"/>
    <w:rsid w:val="008338FF"/>
    <w:rsid w:val="00833A83"/>
    <w:rsid w:val="00833C9E"/>
    <w:rsid w:val="00833F05"/>
    <w:rsid w:val="008340E9"/>
    <w:rsid w:val="0083417C"/>
    <w:rsid w:val="008341CA"/>
    <w:rsid w:val="00834212"/>
    <w:rsid w:val="008342A7"/>
    <w:rsid w:val="008344D6"/>
    <w:rsid w:val="0083459D"/>
    <w:rsid w:val="00834B9E"/>
    <w:rsid w:val="00834DB3"/>
    <w:rsid w:val="00834DDD"/>
    <w:rsid w:val="008350A6"/>
    <w:rsid w:val="0083547D"/>
    <w:rsid w:val="008356A9"/>
    <w:rsid w:val="0083572F"/>
    <w:rsid w:val="00835A12"/>
    <w:rsid w:val="00835A5B"/>
    <w:rsid w:val="00835A5E"/>
    <w:rsid w:val="00835E11"/>
    <w:rsid w:val="00835F00"/>
    <w:rsid w:val="00835F11"/>
    <w:rsid w:val="0083602A"/>
    <w:rsid w:val="008360FF"/>
    <w:rsid w:val="0083619B"/>
    <w:rsid w:val="0083633D"/>
    <w:rsid w:val="00836397"/>
    <w:rsid w:val="0083644F"/>
    <w:rsid w:val="008364D4"/>
    <w:rsid w:val="00836BAE"/>
    <w:rsid w:val="00836BEA"/>
    <w:rsid w:val="00836C5C"/>
    <w:rsid w:val="00836CB5"/>
    <w:rsid w:val="00836E43"/>
    <w:rsid w:val="00836E69"/>
    <w:rsid w:val="008372F8"/>
    <w:rsid w:val="00837379"/>
    <w:rsid w:val="0083749A"/>
    <w:rsid w:val="0083770E"/>
    <w:rsid w:val="0083782F"/>
    <w:rsid w:val="008379B3"/>
    <w:rsid w:val="00837F49"/>
    <w:rsid w:val="00840350"/>
    <w:rsid w:val="008406E9"/>
    <w:rsid w:val="00840957"/>
    <w:rsid w:val="00841160"/>
    <w:rsid w:val="00841271"/>
    <w:rsid w:val="008417D4"/>
    <w:rsid w:val="008417EF"/>
    <w:rsid w:val="0084198E"/>
    <w:rsid w:val="00841A67"/>
    <w:rsid w:val="00841AA7"/>
    <w:rsid w:val="00841E45"/>
    <w:rsid w:val="00842285"/>
    <w:rsid w:val="00842528"/>
    <w:rsid w:val="008429CF"/>
    <w:rsid w:val="00842A23"/>
    <w:rsid w:val="00842BAB"/>
    <w:rsid w:val="00842C7E"/>
    <w:rsid w:val="00842DAE"/>
    <w:rsid w:val="00842DF4"/>
    <w:rsid w:val="00842F4F"/>
    <w:rsid w:val="00842F94"/>
    <w:rsid w:val="00843009"/>
    <w:rsid w:val="0084303E"/>
    <w:rsid w:val="008436D8"/>
    <w:rsid w:val="00843855"/>
    <w:rsid w:val="00843865"/>
    <w:rsid w:val="00843EFC"/>
    <w:rsid w:val="00844025"/>
    <w:rsid w:val="008441AA"/>
    <w:rsid w:val="008444FE"/>
    <w:rsid w:val="00844706"/>
    <w:rsid w:val="00844AD1"/>
    <w:rsid w:val="00844B59"/>
    <w:rsid w:val="00844E00"/>
    <w:rsid w:val="00845148"/>
    <w:rsid w:val="008451D6"/>
    <w:rsid w:val="0084569C"/>
    <w:rsid w:val="0084587F"/>
    <w:rsid w:val="00845DF0"/>
    <w:rsid w:val="00845F91"/>
    <w:rsid w:val="00846CEA"/>
    <w:rsid w:val="00846EB2"/>
    <w:rsid w:val="0084702E"/>
    <w:rsid w:val="008470A7"/>
    <w:rsid w:val="00847320"/>
    <w:rsid w:val="0084746F"/>
    <w:rsid w:val="00847A09"/>
    <w:rsid w:val="00847C52"/>
    <w:rsid w:val="00847D2F"/>
    <w:rsid w:val="00847E93"/>
    <w:rsid w:val="008500F5"/>
    <w:rsid w:val="008500FC"/>
    <w:rsid w:val="008506CC"/>
    <w:rsid w:val="00850C22"/>
    <w:rsid w:val="00850FD8"/>
    <w:rsid w:val="008511A0"/>
    <w:rsid w:val="00851421"/>
    <w:rsid w:val="0085150D"/>
    <w:rsid w:val="008516BF"/>
    <w:rsid w:val="008517D6"/>
    <w:rsid w:val="00851A68"/>
    <w:rsid w:val="00851D0F"/>
    <w:rsid w:val="00851ED1"/>
    <w:rsid w:val="008521F2"/>
    <w:rsid w:val="0085281D"/>
    <w:rsid w:val="008528F2"/>
    <w:rsid w:val="008529A0"/>
    <w:rsid w:val="00852ED2"/>
    <w:rsid w:val="0085376E"/>
    <w:rsid w:val="00853848"/>
    <w:rsid w:val="00853B93"/>
    <w:rsid w:val="00854012"/>
    <w:rsid w:val="008540A9"/>
    <w:rsid w:val="00854486"/>
    <w:rsid w:val="008546F4"/>
    <w:rsid w:val="00854CC4"/>
    <w:rsid w:val="00855066"/>
    <w:rsid w:val="00855952"/>
    <w:rsid w:val="00855DA4"/>
    <w:rsid w:val="00855DD5"/>
    <w:rsid w:val="00855EF1"/>
    <w:rsid w:val="0085611A"/>
    <w:rsid w:val="00856168"/>
    <w:rsid w:val="008562CE"/>
    <w:rsid w:val="00856494"/>
    <w:rsid w:val="00856542"/>
    <w:rsid w:val="008566A3"/>
    <w:rsid w:val="00856C9C"/>
    <w:rsid w:val="00856F5C"/>
    <w:rsid w:val="008570FE"/>
    <w:rsid w:val="0085743D"/>
    <w:rsid w:val="008576DC"/>
    <w:rsid w:val="00857AEC"/>
    <w:rsid w:val="00857BA9"/>
    <w:rsid w:val="00857BAA"/>
    <w:rsid w:val="00857D33"/>
    <w:rsid w:val="00857D95"/>
    <w:rsid w:val="00860299"/>
    <w:rsid w:val="00860913"/>
    <w:rsid w:val="00860D5B"/>
    <w:rsid w:val="00861263"/>
    <w:rsid w:val="00861555"/>
    <w:rsid w:val="008615C0"/>
    <w:rsid w:val="00861706"/>
    <w:rsid w:val="00861CBD"/>
    <w:rsid w:val="00861D40"/>
    <w:rsid w:val="00861E6C"/>
    <w:rsid w:val="008624B4"/>
    <w:rsid w:val="0086260B"/>
    <w:rsid w:val="0086279C"/>
    <w:rsid w:val="00862BA1"/>
    <w:rsid w:val="00862BED"/>
    <w:rsid w:val="00862DE7"/>
    <w:rsid w:val="00862E16"/>
    <w:rsid w:val="00863317"/>
    <w:rsid w:val="008635DA"/>
    <w:rsid w:val="00863991"/>
    <w:rsid w:val="00863D31"/>
    <w:rsid w:val="00863DF2"/>
    <w:rsid w:val="00863E88"/>
    <w:rsid w:val="00863F2C"/>
    <w:rsid w:val="00864032"/>
    <w:rsid w:val="00864194"/>
    <w:rsid w:val="0086472D"/>
    <w:rsid w:val="00864847"/>
    <w:rsid w:val="00865536"/>
    <w:rsid w:val="008655F0"/>
    <w:rsid w:val="00865942"/>
    <w:rsid w:val="00865991"/>
    <w:rsid w:val="00865B27"/>
    <w:rsid w:val="00865E8B"/>
    <w:rsid w:val="00865FD4"/>
    <w:rsid w:val="00866245"/>
    <w:rsid w:val="008662A2"/>
    <w:rsid w:val="008662EC"/>
    <w:rsid w:val="008663BE"/>
    <w:rsid w:val="0086641D"/>
    <w:rsid w:val="0086682D"/>
    <w:rsid w:val="00866CA1"/>
    <w:rsid w:val="00866EBE"/>
    <w:rsid w:val="0086709F"/>
    <w:rsid w:val="00867393"/>
    <w:rsid w:val="0086760B"/>
    <w:rsid w:val="00867935"/>
    <w:rsid w:val="00867D42"/>
    <w:rsid w:val="00867DA9"/>
    <w:rsid w:val="00870178"/>
    <w:rsid w:val="00870389"/>
    <w:rsid w:val="00870A47"/>
    <w:rsid w:val="00870EB7"/>
    <w:rsid w:val="00870F6B"/>
    <w:rsid w:val="00871775"/>
    <w:rsid w:val="0087186E"/>
    <w:rsid w:val="00871D33"/>
    <w:rsid w:val="00871F43"/>
    <w:rsid w:val="00872813"/>
    <w:rsid w:val="0087296C"/>
    <w:rsid w:val="008729A1"/>
    <w:rsid w:val="00872A33"/>
    <w:rsid w:val="00872B9E"/>
    <w:rsid w:val="00872F93"/>
    <w:rsid w:val="0087374C"/>
    <w:rsid w:val="0087383C"/>
    <w:rsid w:val="008739A4"/>
    <w:rsid w:val="00873C0C"/>
    <w:rsid w:val="00873CC7"/>
    <w:rsid w:val="00873DE0"/>
    <w:rsid w:val="00874632"/>
    <w:rsid w:val="0087466C"/>
    <w:rsid w:val="008749E9"/>
    <w:rsid w:val="00874A19"/>
    <w:rsid w:val="00874D00"/>
    <w:rsid w:val="0087518C"/>
    <w:rsid w:val="00875232"/>
    <w:rsid w:val="008752FA"/>
    <w:rsid w:val="008756B3"/>
    <w:rsid w:val="0087585F"/>
    <w:rsid w:val="00875C08"/>
    <w:rsid w:val="00876017"/>
    <w:rsid w:val="00876239"/>
    <w:rsid w:val="00876686"/>
    <w:rsid w:val="0087674C"/>
    <w:rsid w:val="00876CF2"/>
    <w:rsid w:val="00876D97"/>
    <w:rsid w:val="00876DA7"/>
    <w:rsid w:val="00876E36"/>
    <w:rsid w:val="00876E50"/>
    <w:rsid w:val="00876F92"/>
    <w:rsid w:val="00876FF3"/>
    <w:rsid w:val="008772EF"/>
    <w:rsid w:val="00877344"/>
    <w:rsid w:val="0087736E"/>
    <w:rsid w:val="00877B78"/>
    <w:rsid w:val="00880087"/>
    <w:rsid w:val="0088043B"/>
    <w:rsid w:val="00880A11"/>
    <w:rsid w:val="008812FA"/>
    <w:rsid w:val="00881524"/>
    <w:rsid w:val="008816D6"/>
    <w:rsid w:val="00881B8F"/>
    <w:rsid w:val="00881DD5"/>
    <w:rsid w:val="00881E6B"/>
    <w:rsid w:val="00881F02"/>
    <w:rsid w:val="0088208C"/>
    <w:rsid w:val="00882114"/>
    <w:rsid w:val="0088216C"/>
    <w:rsid w:val="00882325"/>
    <w:rsid w:val="0088235E"/>
    <w:rsid w:val="008823CB"/>
    <w:rsid w:val="00882BCB"/>
    <w:rsid w:val="00882C80"/>
    <w:rsid w:val="00882F82"/>
    <w:rsid w:val="008833BF"/>
    <w:rsid w:val="00883447"/>
    <w:rsid w:val="00883641"/>
    <w:rsid w:val="008836B9"/>
    <w:rsid w:val="0088387A"/>
    <w:rsid w:val="008840A7"/>
    <w:rsid w:val="00884132"/>
    <w:rsid w:val="00884428"/>
    <w:rsid w:val="008846DA"/>
    <w:rsid w:val="008848AF"/>
    <w:rsid w:val="00884917"/>
    <w:rsid w:val="00884AC4"/>
    <w:rsid w:val="00885010"/>
    <w:rsid w:val="008853C4"/>
    <w:rsid w:val="008858DB"/>
    <w:rsid w:val="00885EC3"/>
    <w:rsid w:val="0088633E"/>
    <w:rsid w:val="0088646A"/>
    <w:rsid w:val="00886BA3"/>
    <w:rsid w:val="00886FFE"/>
    <w:rsid w:val="00887059"/>
    <w:rsid w:val="00887154"/>
    <w:rsid w:val="008872D2"/>
    <w:rsid w:val="008872DA"/>
    <w:rsid w:val="00887418"/>
    <w:rsid w:val="00887451"/>
    <w:rsid w:val="00887506"/>
    <w:rsid w:val="00887823"/>
    <w:rsid w:val="008878B2"/>
    <w:rsid w:val="00887AB0"/>
    <w:rsid w:val="00887BCA"/>
    <w:rsid w:val="008906D5"/>
    <w:rsid w:val="008906FF"/>
    <w:rsid w:val="008908D3"/>
    <w:rsid w:val="00890AE8"/>
    <w:rsid w:val="00891206"/>
    <w:rsid w:val="008914BE"/>
    <w:rsid w:val="008919B6"/>
    <w:rsid w:val="00891D57"/>
    <w:rsid w:val="00891DAA"/>
    <w:rsid w:val="00891FB6"/>
    <w:rsid w:val="00892243"/>
    <w:rsid w:val="00892348"/>
    <w:rsid w:val="00892422"/>
    <w:rsid w:val="00892527"/>
    <w:rsid w:val="0089262B"/>
    <w:rsid w:val="00892646"/>
    <w:rsid w:val="00892A95"/>
    <w:rsid w:val="00892AE3"/>
    <w:rsid w:val="00892EAD"/>
    <w:rsid w:val="00893022"/>
    <w:rsid w:val="008939F3"/>
    <w:rsid w:val="00893B06"/>
    <w:rsid w:val="00893DDE"/>
    <w:rsid w:val="00893DEB"/>
    <w:rsid w:val="00893E18"/>
    <w:rsid w:val="008944D2"/>
    <w:rsid w:val="00894611"/>
    <w:rsid w:val="008946AC"/>
    <w:rsid w:val="00894E06"/>
    <w:rsid w:val="00894E1E"/>
    <w:rsid w:val="00894F4C"/>
    <w:rsid w:val="00894FDD"/>
    <w:rsid w:val="0089520E"/>
    <w:rsid w:val="008955CC"/>
    <w:rsid w:val="008958E9"/>
    <w:rsid w:val="00895A43"/>
    <w:rsid w:val="00895B7A"/>
    <w:rsid w:val="00895BED"/>
    <w:rsid w:val="00895F78"/>
    <w:rsid w:val="008960FD"/>
    <w:rsid w:val="00896252"/>
    <w:rsid w:val="008962D8"/>
    <w:rsid w:val="0089693E"/>
    <w:rsid w:val="00896ED9"/>
    <w:rsid w:val="00897052"/>
    <w:rsid w:val="0089728E"/>
    <w:rsid w:val="008975C9"/>
    <w:rsid w:val="008975DC"/>
    <w:rsid w:val="0089779B"/>
    <w:rsid w:val="0089779F"/>
    <w:rsid w:val="00897951"/>
    <w:rsid w:val="00897955"/>
    <w:rsid w:val="00897A41"/>
    <w:rsid w:val="00897D29"/>
    <w:rsid w:val="00897F7C"/>
    <w:rsid w:val="008A04CB"/>
    <w:rsid w:val="008A0747"/>
    <w:rsid w:val="008A14F7"/>
    <w:rsid w:val="008A1714"/>
    <w:rsid w:val="008A1ECD"/>
    <w:rsid w:val="008A1EF6"/>
    <w:rsid w:val="008A21D2"/>
    <w:rsid w:val="008A27AC"/>
    <w:rsid w:val="008A2DA7"/>
    <w:rsid w:val="008A3217"/>
    <w:rsid w:val="008A32D1"/>
    <w:rsid w:val="008A370E"/>
    <w:rsid w:val="008A37B5"/>
    <w:rsid w:val="008A3DA4"/>
    <w:rsid w:val="008A41D2"/>
    <w:rsid w:val="008A4A75"/>
    <w:rsid w:val="008A4ABB"/>
    <w:rsid w:val="008A4BC5"/>
    <w:rsid w:val="008A4C76"/>
    <w:rsid w:val="008A4ECD"/>
    <w:rsid w:val="008A5234"/>
    <w:rsid w:val="008A55F3"/>
    <w:rsid w:val="008A5679"/>
    <w:rsid w:val="008A57D1"/>
    <w:rsid w:val="008A5E8D"/>
    <w:rsid w:val="008A5E9E"/>
    <w:rsid w:val="008A67CA"/>
    <w:rsid w:val="008A68A2"/>
    <w:rsid w:val="008A6C4E"/>
    <w:rsid w:val="008A70D6"/>
    <w:rsid w:val="008A728B"/>
    <w:rsid w:val="008A7499"/>
    <w:rsid w:val="008A7BAD"/>
    <w:rsid w:val="008A7D99"/>
    <w:rsid w:val="008B01EC"/>
    <w:rsid w:val="008B044D"/>
    <w:rsid w:val="008B05BD"/>
    <w:rsid w:val="008B0EDD"/>
    <w:rsid w:val="008B0F75"/>
    <w:rsid w:val="008B1666"/>
    <w:rsid w:val="008B1794"/>
    <w:rsid w:val="008B18BC"/>
    <w:rsid w:val="008B1F4E"/>
    <w:rsid w:val="008B2487"/>
    <w:rsid w:val="008B264F"/>
    <w:rsid w:val="008B2A2F"/>
    <w:rsid w:val="008B3074"/>
    <w:rsid w:val="008B33B9"/>
    <w:rsid w:val="008B3880"/>
    <w:rsid w:val="008B3FEF"/>
    <w:rsid w:val="008B406B"/>
    <w:rsid w:val="008B43D1"/>
    <w:rsid w:val="008B46F3"/>
    <w:rsid w:val="008B4EFD"/>
    <w:rsid w:val="008B4F57"/>
    <w:rsid w:val="008B58CA"/>
    <w:rsid w:val="008B59AC"/>
    <w:rsid w:val="008B5BC4"/>
    <w:rsid w:val="008B5F43"/>
    <w:rsid w:val="008B5F64"/>
    <w:rsid w:val="008B613C"/>
    <w:rsid w:val="008B618F"/>
    <w:rsid w:val="008B62AD"/>
    <w:rsid w:val="008B64C2"/>
    <w:rsid w:val="008B6687"/>
    <w:rsid w:val="008B6926"/>
    <w:rsid w:val="008B6C9F"/>
    <w:rsid w:val="008B6EFE"/>
    <w:rsid w:val="008B6FE4"/>
    <w:rsid w:val="008B72A6"/>
    <w:rsid w:val="008B73EE"/>
    <w:rsid w:val="008B746E"/>
    <w:rsid w:val="008B7492"/>
    <w:rsid w:val="008B751B"/>
    <w:rsid w:val="008B7577"/>
    <w:rsid w:val="008B759E"/>
    <w:rsid w:val="008B7A35"/>
    <w:rsid w:val="008B7B7B"/>
    <w:rsid w:val="008B7EA0"/>
    <w:rsid w:val="008C0262"/>
    <w:rsid w:val="008C02E5"/>
    <w:rsid w:val="008C051D"/>
    <w:rsid w:val="008C0965"/>
    <w:rsid w:val="008C0AC4"/>
    <w:rsid w:val="008C0CB5"/>
    <w:rsid w:val="008C0E8D"/>
    <w:rsid w:val="008C1340"/>
    <w:rsid w:val="008C1490"/>
    <w:rsid w:val="008C15EB"/>
    <w:rsid w:val="008C17C4"/>
    <w:rsid w:val="008C1C51"/>
    <w:rsid w:val="008C1EC3"/>
    <w:rsid w:val="008C1F97"/>
    <w:rsid w:val="008C22BE"/>
    <w:rsid w:val="008C250C"/>
    <w:rsid w:val="008C2FFC"/>
    <w:rsid w:val="008C30B0"/>
    <w:rsid w:val="008C3173"/>
    <w:rsid w:val="008C3542"/>
    <w:rsid w:val="008C4147"/>
    <w:rsid w:val="008C464A"/>
    <w:rsid w:val="008C46AA"/>
    <w:rsid w:val="008C481C"/>
    <w:rsid w:val="008C4960"/>
    <w:rsid w:val="008C4C1A"/>
    <w:rsid w:val="008C4E77"/>
    <w:rsid w:val="008C4F6F"/>
    <w:rsid w:val="008C4F74"/>
    <w:rsid w:val="008C5031"/>
    <w:rsid w:val="008C5223"/>
    <w:rsid w:val="008C55F2"/>
    <w:rsid w:val="008C5735"/>
    <w:rsid w:val="008C59E9"/>
    <w:rsid w:val="008C5A14"/>
    <w:rsid w:val="008C5D65"/>
    <w:rsid w:val="008C5F53"/>
    <w:rsid w:val="008C664A"/>
    <w:rsid w:val="008C67FA"/>
    <w:rsid w:val="008C692D"/>
    <w:rsid w:val="008C6A96"/>
    <w:rsid w:val="008C6B3D"/>
    <w:rsid w:val="008C6DE9"/>
    <w:rsid w:val="008C6F46"/>
    <w:rsid w:val="008C7009"/>
    <w:rsid w:val="008C7035"/>
    <w:rsid w:val="008C7235"/>
    <w:rsid w:val="008C7289"/>
    <w:rsid w:val="008C74B5"/>
    <w:rsid w:val="008C7D12"/>
    <w:rsid w:val="008C7EDF"/>
    <w:rsid w:val="008D0045"/>
    <w:rsid w:val="008D00DF"/>
    <w:rsid w:val="008D0384"/>
    <w:rsid w:val="008D04D5"/>
    <w:rsid w:val="008D07DF"/>
    <w:rsid w:val="008D08EE"/>
    <w:rsid w:val="008D0BCF"/>
    <w:rsid w:val="008D0DFD"/>
    <w:rsid w:val="008D0F53"/>
    <w:rsid w:val="008D1046"/>
    <w:rsid w:val="008D10A2"/>
    <w:rsid w:val="008D14BC"/>
    <w:rsid w:val="008D15E0"/>
    <w:rsid w:val="008D1652"/>
    <w:rsid w:val="008D19EB"/>
    <w:rsid w:val="008D1BA6"/>
    <w:rsid w:val="008D1BAB"/>
    <w:rsid w:val="008D2260"/>
    <w:rsid w:val="008D2412"/>
    <w:rsid w:val="008D29B4"/>
    <w:rsid w:val="008D2B27"/>
    <w:rsid w:val="008D2C46"/>
    <w:rsid w:val="008D2CFD"/>
    <w:rsid w:val="008D2E50"/>
    <w:rsid w:val="008D2F0E"/>
    <w:rsid w:val="008D2F11"/>
    <w:rsid w:val="008D360E"/>
    <w:rsid w:val="008D43CC"/>
    <w:rsid w:val="008D4454"/>
    <w:rsid w:val="008D4965"/>
    <w:rsid w:val="008D4BCA"/>
    <w:rsid w:val="008D5419"/>
    <w:rsid w:val="008D5E32"/>
    <w:rsid w:val="008D643E"/>
    <w:rsid w:val="008D6B40"/>
    <w:rsid w:val="008D6BFD"/>
    <w:rsid w:val="008D70C1"/>
    <w:rsid w:val="008D72F7"/>
    <w:rsid w:val="008D74B7"/>
    <w:rsid w:val="008D7844"/>
    <w:rsid w:val="008D7F3A"/>
    <w:rsid w:val="008E0127"/>
    <w:rsid w:val="008E0151"/>
    <w:rsid w:val="008E0257"/>
    <w:rsid w:val="008E0451"/>
    <w:rsid w:val="008E0495"/>
    <w:rsid w:val="008E07EF"/>
    <w:rsid w:val="008E0E7C"/>
    <w:rsid w:val="008E0EA4"/>
    <w:rsid w:val="008E10E4"/>
    <w:rsid w:val="008E15AE"/>
    <w:rsid w:val="008E15CC"/>
    <w:rsid w:val="008E17F1"/>
    <w:rsid w:val="008E1BB4"/>
    <w:rsid w:val="008E1ECF"/>
    <w:rsid w:val="008E1F29"/>
    <w:rsid w:val="008E214D"/>
    <w:rsid w:val="008E21FC"/>
    <w:rsid w:val="008E22F6"/>
    <w:rsid w:val="008E2979"/>
    <w:rsid w:val="008E32AA"/>
    <w:rsid w:val="008E3371"/>
    <w:rsid w:val="008E33F3"/>
    <w:rsid w:val="008E343B"/>
    <w:rsid w:val="008E3624"/>
    <w:rsid w:val="008E3635"/>
    <w:rsid w:val="008E3900"/>
    <w:rsid w:val="008E39DD"/>
    <w:rsid w:val="008E47B6"/>
    <w:rsid w:val="008E4962"/>
    <w:rsid w:val="008E4CFE"/>
    <w:rsid w:val="008E4DB0"/>
    <w:rsid w:val="008E4E12"/>
    <w:rsid w:val="008E4EA0"/>
    <w:rsid w:val="008E4F38"/>
    <w:rsid w:val="008E53AD"/>
    <w:rsid w:val="008E53E9"/>
    <w:rsid w:val="008E5433"/>
    <w:rsid w:val="008E5602"/>
    <w:rsid w:val="008E5899"/>
    <w:rsid w:val="008E58DB"/>
    <w:rsid w:val="008E5975"/>
    <w:rsid w:val="008E5F3C"/>
    <w:rsid w:val="008E64E6"/>
    <w:rsid w:val="008E679E"/>
    <w:rsid w:val="008E68A5"/>
    <w:rsid w:val="008E68C5"/>
    <w:rsid w:val="008E6A12"/>
    <w:rsid w:val="008E6A32"/>
    <w:rsid w:val="008E6D40"/>
    <w:rsid w:val="008E706A"/>
    <w:rsid w:val="008E7704"/>
    <w:rsid w:val="008E7860"/>
    <w:rsid w:val="008E7E1E"/>
    <w:rsid w:val="008E7E9A"/>
    <w:rsid w:val="008F002D"/>
    <w:rsid w:val="008F00A4"/>
    <w:rsid w:val="008F043D"/>
    <w:rsid w:val="008F0C96"/>
    <w:rsid w:val="008F110F"/>
    <w:rsid w:val="008F11BF"/>
    <w:rsid w:val="008F15AB"/>
    <w:rsid w:val="008F15D2"/>
    <w:rsid w:val="008F1832"/>
    <w:rsid w:val="008F1BE3"/>
    <w:rsid w:val="008F1E68"/>
    <w:rsid w:val="008F1EA0"/>
    <w:rsid w:val="008F1EC4"/>
    <w:rsid w:val="008F1F37"/>
    <w:rsid w:val="008F2619"/>
    <w:rsid w:val="008F27CF"/>
    <w:rsid w:val="008F290C"/>
    <w:rsid w:val="008F2981"/>
    <w:rsid w:val="008F299C"/>
    <w:rsid w:val="008F2A6A"/>
    <w:rsid w:val="008F314A"/>
    <w:rsid w:val="008F34E7"/>
    <w:rsid w:val="008F35A8"/>
    <w:rsid w:val="008F36AC"/>
    <w:rsid w:val="008F37DC"/>
    <w:rsid w:val="008F3C49"/>
    <w:rsid w:val="008F3D7B"/>
    <w:rsid w:val="008F3E77"/>
    <w:rsid w:val="008F3E88"/>
    <w:rsid w:val="008F425A"/>
    <w:rsid w:val="008F4337"/>
    <w:rsid w:val="008F4378"/>
    <w:rsid w:val="008F46F7"/>
    <w:rsid w:val="008F4896"/>
    <w:rsid w:val="008F4C2F"/>
    <w:rsid w:val="008F4D96"/>
    <w:rsid w:val="008F4E64"/>
    <w:rsid w:val="008F52D0"/>
    <w:rsid w:val="008F56D8"/>
    <w:rsid w:val="008F5730"/>
    <w:rsid w:val="008F592E"/>
    <w:rsid w:val="008F5B40"/>
    <w:rsid w:val="008F64D6"/>
    <w:rsid w:val="008F6542"/>
    <w:rsid w:val="008F65AD"/>
    <w:rsid w:val="008F66DB"/>
    <w:rsid w:val="008F6F9F"/>
    <w:rsid w:val="008F6FB8"/>
    <w:rsid w:val="008F7026"/>
    <w:rsid w:val="008F70FF"/>
    <w:rsid w:val="008F73F2"/>
    <w:rsid w:val="008F73F4"/>
    <w:rsid w:val="008F757A"/>
    <w:rsid w:val="008F75C4"/>
    <w:rsid w:val="008F77F4"/>
    <w:rsid w:val="008F7B55"/>
    <w:rsid w:val="008F7F6D"/>
    <w:rsid w:val="0090007A"/>
    <w:rsid w:val="0090073D"/>
    <w:rsid w:val="00900811"/>
    <w:rsid w:val="009008D2"/>
    <w:rsid w:val="00900E82"/>
    <w:rsid w:val="00900F68"/>
    <w:rsid w:val="0090101E"/>
    <w:rsid w:val="00901047"/>
    <w:rsid w:val="009010EB"/>
    <w:rsid w:val="00901352"/>
    <w:rsid w:val="009014F2"/>
    <w:rsid w:val="0090202D"/>
    <w:rsid w:val="00902203"/>
    <w:rsid w:val="00902751"/>
    <w:rsid w:val="00902861"/>
    <w:rsid w:val="00902885"/>
    <w:rsid w:val="00902A5A"/>
    <w:rsid w:val="00902BC9"/>
    <w:rsid w:val="00902FAD"/>
    <w:rsid w:val="00903063"/>
    <w:rsid w:val="0090317A"/>
    <w:rsid w:val="009031DF"/>
    <w:rsid w:val="00903329"/>
    <w:rsid w:val="00903B65"/>
    <w:rsid w:val="00903E6A"/>
    <w:rsid w:val="00903E90"/>
    <w:rsid w:val="0090417A"/>
    <w:rsid w:val="009041DE"/>
    <w:rsid w:val="0090422D"/>
    <w:rsid w:val="0090452A"/>
    <w:rsid w:val="00904CAD"/>
    <w:rsid w:val="00904CC9"/>
    <w:rsid w:val="00904F9C"/>
    <w:rsid w:val="0090500B"/>
    <w:rsid w:val="0090501E"/>
    <w:rsid w:val="009051D8"/>
    <w:rsid w:val="0090556F"/>
    <w:rsid w:val="00905C40"/>
    <w:rsid w:val="00905CD0"/>
    <w:rsid w:val="00905D8A"/>
    <w:rsid w:val="00905D97"/>
    <w:rsid w:val="00905F78"/>
    <w:rsid w:val="00905F98"/>
    <w:rsid w:val="00905F99"/>
    <w:rsid w:val="00906E90"/>
    <w:rsid w:val="009078F9"/>
    <w:rsid w:val="00907940"/>
    <w:rsid w:val="00907AF0"/>
    <w:rsid w:val="00907BF4"/>
    <w:rsid w:val="00907C96"/>
    <w:rsid w:val="00907CE3"/>
    <w:rsid w:val="00910628"/>
    <w:rsid w:val="00910831"/>
    <w:rsid w:val="00911136"/>
    <w:rsid w:val="009111EF"/>
    <w:rsid w:val="0091184C"/>
    <w:rsid w:val="00911BF6"/>
    <w:rsid w:val="009123C4"/>
    <w:rsid w:val="00912565"/>
    <w:rsid w:val="009126DD"/>
    <w:rsid w:val="00912806"/>
    <w:rsid w:val="00912E09"/>
    <w:rsid w:val="00912FC6"/>
    <w:rsid w:val="009134AF"/>
    <w:rsid w:val="00913579"/>
    <w:rsid w:val="00913FD6"/>
    <w:rsid w:val="00914340"/>
    <w:rsid w:val="009144D2"/>
    <w:rsid w:val="00914719"/>
    <w:rsid w:val="00914A83"/>
    <w:rsid w:val="00914CE5"/>
    <w:rsid w:val="00914DB1"/>
    <w:rsid w:val="0091523E"/>
    <w:rsid w:val="009152A1"/>
    <w:rsid w:val="0091538A"/>
    <w:rsid w:val="00915688"/>
    <w:rsid w:val="009158D6"/>
    <w:rsid w:val="00915C62"/>
    <w:rsid w:val="009165AD"/>
    <w:rsid w:val="00916E14"/>
    <w:rsid w:val="00916E3B"/>
    <w:rsid w:val="00917315"/>
    <w:rsid w:val="00917420"/>
    <w:rsid w:val="0092002B"/>
    <w:rsid w:val="009200C4"/>
    <w:rsid w:val="009203A9"/>
    <w:rsid w:val="009204E3"/>
    <w:rsid w:val="009205D4"/>
    <w:rsid w:val="009207F8"/>
    <w:rsid w:val="009209DD"/>
    <w:rsid w:val="00920D8C"/>
    <w:rsid w:val="009215A5"/>
    <w:rsid w:val="0092166C"/>
    <w:rsid w:val="009216D2"/>
    <w:rsid w:val="009216FB"/>
    <w:rsid w:val="00921900"/>
    <w:rsid w:val="0092197F"/>
    <w:rsid w:val="00921A29"/>
    <w:rsid w:val="00921E08"/>
    <w:rsid w:val="00921E58"/>
    <w:rsid w:val="00921EE2"/>
    <w:rsid w:val="00921F62"/>
    <w:rsid w:val="00921FFD"/>
    <w:rsid w:val="00922242"/>
    <w:rsid w:val="0092243D"/>
    <w:rsid w:val="009226D9"/>
    <w:rsid w:val="00922CC0"/>
    <w:rsid w:val="00922CCD"/>
    <w:rsid w:val="00922ECC"/>
    <w:rsid w:val="00923134"/>
    <w:rsid w:val="009231D9"/>
    <w:rsid w:val="0092340A"/>
    <w:rsid w:val="009234DB"/>
    <w:rsid w:val="009248B7"/>
    <w:rsid w:val="00924919"/>
    <w:rsid w:val="009249B3"/>
    <w:rsid w:val="00924CCE"/>
    <w:rsid w:val="00924D93"/>
    <w:rsid w:val="00924DD3"/>
    <w:rsid w:val="00924FF0"/>
    <w:rsid w:val="009251F0"/>
    <w:rsid w:val="00925262"/>
    <w:rsid w:val="00925B33"/>
    <w:rsid w:val="00925BA5"/>
    <w:rsid w:val="0092624A"/>
    <w:rsid w:val="009262D7"/>
    <w:rsid w:val="009262DD"/>
    <w:rsid w:val="009267E9"/>
    <w:rsid w:val="0092684C"/>
    <w:rsid w:val="00927178"/>
    <w:rsid w:val="009271D6"/>
    <w:rsid w:val="0092720E"/>
    <w:rsid w:val="0092762E"/>
    <w:rsid w:val="00927690"/>
    <w:rsid w:val="0092798B"/>
    <w:rsid w:val="00927ACB"/>
    <w:rsid w:val="00927AED"/>
    <w:rsid w:val="0093042E"/>
    <w:rsid w:val="00930587"/>
    <w:rsid w:val="009310D1"/>
    <w:rsid w:val="00931260"/>
    <w:rsid w:val="009312BB"/>
    <w:rsid w:val="00931393"/>
    <w:rsid w:val="00931475"/>
    <w:rsid w:val="0093151E"/>
    <w:rsid w:val="0093173B"/>
    <w:rsid w:val="00931807"/>
    <w:rsid w:val="009318E0"/>
    <w:rsid w:val="00931A95"/>
    <w:rsid w:val="00931BCE"/>
    <w:rsid w:val="00931D0B"/>
    <w:rsid w:val="0093251E"/>
    <w:rsid w:val="00932630"/>
    <w:rsid w:val="009329EA"/>
    <w:rsid w:val="00932F99"/>
    <w:rsid w:val="00932FA1"/>
    <w:rsid w:val="009334FF"/>
    <w:rsid w:val="0093390C"/>
    <w:rsid w:val="0093390E"/>
    <w:rsid w:val="00933A95"/>
    <w:rsid w:val="00933C26"/>
    <w:rsid w:val="00933E9F"/>
    <w:rsid w:val="00933F65"/>
    <w:rsid w:val="0093422A"/>
    <w:rsid w:val="009343A0"/>
    <w:rsid w:val="0093444D"/>
    <w:rsid w:val="009344BB"/>
    <w:rsid w:val="00934664"/>
    <w:rsid w:val="00934751"/>
    <w:rsid w:val="00934A64"/>
    <w:rsid w:val="00934ABF"/>
    <w:rsid w:val="00934CF3"/>
    <w:rsid w:val="00935252"/>
    <w:rsid w:val="00935783"/>
    <w:rsid w:val="00935849"/>
    <w:rsid w:val="00935F16"/>
    <w:rsid w:val="00936077"/>
    <w:rsid w:val="009360B2"/>
    <w:rsid w:val="0093620A"/>
    <w:rsid w:val="009362A9"/>
    <w:rsid w:val="0093640C"/>
    <w:rsid w:val="00936428"/>
    <w:rsid w:val="0093662D"/>
    <w:rsid w:val="00936CD9"/>
    <w:rsid w:val="009370B6"/>
    <w:rsid w:val="009370C5"/>
    <w:rsid w:val="00937100"/>
    <w:rsid w:val="00937268"/>
    <w:rsid w:val="009373E9"/>
    <w:rsid w:val="00937441"/>
    <w:rsid w:val="0093781C"/>
    <w:rsid w:val="00937867"/>
    <w:rsid w:val="009379E6"/>
    <w:rsid w:val="009408BB"/>
    <w:rsid w:val="00940921"/>
    <w:rsid w:val="00940A20"/>
    <w:rsid w:val="00940A73"/>
    <w:rsid w:val="00940B63"/>
    <w:rsid w:val="00941CEA"/>
    <w:rsid w:val="00941D10"/>
    <w:rsid w:val="00941D8E"/>
    <w:rsid w:val="00942299"/>
    <w:rsid w:val="0094239A"/>
    <w:rsid w:val="009423A6"/>
    <w:rsid w:val="00942633"/>
    <w:rsid w:val="00942662"/>
    <w:rsid w:val="0094274D"/>
    <w:rsid w:val="00942783"/>
    <w:rsid w:val="009427AE"/>
    <w:rsid w:val="00942AA5"/>
    <w:rsid w:val="00942B35"/>
    <w:rsid w:val="00942F1B"/>
    <w:rsid w:val="00942F2A"/>
    <w:rsid w:val="00942F86"/>
    <w:rsid w:val="009435EB"/>
    <w:rsid w:val="00943AD5"/>
    <w:rsid w:val="00943B7A"/>
    <w:rsid w:val="00943C2D"/>
    <w:rsid w:val="00943CB9"/>
    <w:rsid w:val="00943E30"/>
    <w:rsid w:val="00944046"/>
    <w:rsid w:val="0094483E"/>
    <w:rsid w:val="00944939"/>
    <w:rsid w:val="00944BA5"/>
    <w:rsid w:val="009450D7"/>
    <w:rsid w:val="0094595E"/>
    <w:rsid w:val="00945983"/>
    <w:rsid w:val="00945A78"/>
    <w:rsid w:val="00945B3A"/>
    <w:rsid w:val="00945C84"/>
    <w:rsid w:val="00945CE3"/>
    <w:rsid w:val="00945EF1"/>
    <w:rsid w:val="00945F25"/>
    <w:rsid w:val="00946300"/>
    <w:rsid w:val="00946816"/>
    <w:rsid w:val="00946958"/>
    <w:rsid w:val="00947379"/>
    <w:rsid w:val="009474B4"/>
    <w:rsid w:val="00947863"/>
    <w:rsid w:val="0094792E"/>
    <w:rsid w:val="009479C3"/>
    <w:rsid w:val="00947E12"/>
    <w:rsid w:val="009501F0"/>
    <w:rsid w:val="00950D20"/>
    <w:rsid w:val="00950E09"/>
    <w:rsid w:val="00950E21"/>
    <w:rsid w:val="00950E8E"/>
    <w:rsid w:val="00950EAC"/>
    <w:rsid w:val="00950F75"/>
    <w:rsid w:val="009513B4"/>
    <w:rsid w:val="00951431"/>
    <w:rsid w:val="009515F2"/>
    <w:rsid w:val="00951736"/>
    <w:rsid w:val="0095197C"/>
    <w:rsid w:val="00951A09"/>
    <w:rsid w:val="00951AE1"/>
    <w:rsid w:val="00952835"/>
    <w:rsid w:val="0095298C"/>
    <w:rsid w:val="00952C0E"/>
    <w:rsid w:val="00952D51"/>
    <w:rsid w:val="00952EEA"/>
    <w:rsid w:val="00953232"/>
    <w:rsid w:val="009532EB"/>
    <w:rsid w:val="009535BC"/>
    <w:rsid w:val="00953619"/>
    <w:rsid w:val="00953BCA"/>
    <w:rsid w:val="009541B5"/>
    <w:rsid w:val="00955263"/>
    <w:rsid w:val="009552BF"/>
    <w:rsid w:val="009554A5"/>
    <w:rsid w:val="009554FA"/>
    <w:rsid w:val="0095550B"/>
    <w:rsid w:val="00955722"/>
    <w:rsid w:val="00955745"/>
    <w:rsid w:val="00955A63"/>
    <w:rsid w:val="00956145"/>
    <w:rsid w:val="00956633"/>
    <w:rsid w:val="00956ADC"/>
    <w:rsid w:val="00956B0F"/>
    <w:rsid w:val="00956B1B"/>
    <w:rsid w:val="00956B96"/>
    <w:rsid w:val="00956BA7"/>
    <w:rsid w:val="00956F41"/>
    <w:rsid w:val="00957338"/>
    <w:rsid w:val="0095781A"/>
    <w:rsid w:val="00957838"/>
    <w:rsid w:val="00957962"/>
    <w:rsid w:val="00957C36"/>
    <w:rsid w:val="00957CFD"/>
    <w:rsid w:val="00957E25"/>
    <w:rsid w:val="0096011F"/>
    <w:rsid w:val="009601D2"/>
    <w:rsid w:val="009604C3"/>
    <w:rsid w:val="00960548"/>
    <w:rsid w:val="0096092F"/>
    <w:rsid w:val="009609C5"/>
    <w:rsid w:val="00960FEB"/>
    <w:rsid w:val="009612D2"/>
    <w:rsid w:val="00961351"/>
    <w:rsid w:val="009614A8"/>
    <w:rsid w:val="0096172E"/>
    <w:rsid w:val="0096175D"/>
    <w:rsid w:val="00961B10"/>
    <w:rsid w:val="00961D7A"/>
    <w:rsid w:val="0096226E"/>
    <w:rsid w:val="0096261E"/>
    <w:rsid w:val="009628E6"/>
    <w:rsid w:val="00962A2E"/>
    <w:rsid w:val="00962DFF"/>
    <w:rsid w:val="00963064"/>
    <w:rsid w:val="0096325F"/>
    <w:rsid w:val="0096333B"/>
    <w:rsid w:val="00963444"/>
    <w:rsid w:val="00963729"/>
    <w:rsid w:val="00963985"/>
    <w:rsid w:val="00963A28"/>
    <w:rsid w:val="00963EEC"/>
    <w:rsid w:val="009640E6"/>
    <w:rsid w:val="0096485A"/>
    <w:rsid w:val="00964ACF"/>
    <w:rsid w:val="00964C7E"/>
    <w:rsid w:val="00964C98"/>
    <w:rsid w:val="00964CE2"/>
    <w:rsid w:val="00964DAE"/>
    <w:rsid w:val="009650DE"/>
    <w:rsid w:val="00965514"/>
    <w:rsid w:val="009656BD"/>
    <w:rsid w:val="00965A2B"/>
    <w:rsid w:val="00965A60"/>
    <w:rsid w:val="00965A68"/>
    <w:rsid w:val="00965C46"/>
    <w:rsid w:val="00965DFB"/>
    <w:rsid w:val="00965EF2"/>
    <w:rsid w:val="00966065"/>
    <w:rsid w:val="00966223"/>
    <w:rsid w:val="0096668F"/>
    <w:rsid w:val="00966902"/>
    <w:rsid w:val="009669FA"/>
    <w:rsid w:val="00967027"/>
    <w:rsid w:val="00967141"/>
    <w:rsid w:val="009673A9"/>
    <w:rsid w:val="00967481"/>
    <w:rsid w:val="009674E2"/>
    <w:rsid w:val="009675AF"/>
    <w:rsid w:val="009675F7"/>
    <w:rsid w:val="009678D4"/>
    <w:rsid w:val="00967EFD"/>
    <w:rsid w:val="00970232"/>
    <w:rsid w:val="00970B62"/>
    <w:rsid w:val="00970C8A"/>
    <w:rsid w:val="00970F02"/>
    <w:rsid w:val="00971190"/>
    <w:rsid w:val="00971196"/>
    <w:rsid w:val="009712A1"/>
    <w:rsid w:val="009714A3"/>
    <w:rsid w:val="009717B3"/>
    <w:rsid w:val="0097198E"/>
    <w:rsid w:val="00971991"/>
    <w:rsid w:val="00971DA3"/>
    <w:rsid w:val="00971DCB"/>
    <w:rsid w:val="009723AF"/>
    <w:rsid w:val="009724B3"/>
    <w:rsid w:val="00972525"/>
    <w:rsid w:val="00972C49"/>
    <w:rsid w:val="00972D37"/>
    <w:rsid w:val="00972E9D"/>
    <w:rsid w:val="00973302"/>
    <w:rsid w:val="00973637"/>
    <w:rsid w:val="0097404B"/>
    <w:rsid w:val="009740F9"/>
    <w:rsid w:val="00974113"/>
    <w:rsid w:val="00974327"/>
    <w:rsid w:val="00974358"/>
    <w:rsid w:val="00974543"/>
    <w:rsid w:val="00974919"/>
    <w:rsid w:val="00974F14"/>
    <w:rsid w:val="00974F27"/>
    <w:rsid w:val="00974FDB"/>
    <w:rsid w:val="00974FF3"/>
    <w:rsid w:val="00975135"/>
    <w:rsid w:val="009753A6"/>
    <w:rsid w:val="00975404"/>
    <w:rsid w:val="009755C5"/>
    <w:rsid w:val="009756EE"/>
    <w:rsid w:val="0097586C"/>
    <w:rsid w:val="00975AFE"/>
    <w:rsid w:val="00975B29"/>
    <w:rsid w:val="00975B44"/>
    <w:rsid w:val="009760F4"/>
    <w:rsid w:val="00976264"/>
    <w:rsid w:val="00976459"/>
    <w:rsid w:val="00976464"/>
    <w:rsid w:val="0097670A"/>
    <w:rsid w:val="00976ACE"/>
    <w:rsid w:val="00976BCE"/>
    <w:rsid w:val="00977822"/>
    <w:rsid w:val="00977B4A"/>
    <w:rsid w:val="00977E63"/>
    <w:rsid w:val="0098001D"/>
    <w:rsid w:val="00980050"/>
    <w:rsid w:val="0098012A"/>
    <w:rsid w:val="0098021F"/>
    <w:rsid w:val="0098034B"/>
    <w:rsid w:val="00980415"/>
    <w:rsid w:val="009804FE"/>
    <w:rsid w:val="00980662"/>
    <w:rsid w:val="00980786"/>
    <w:rsid w:val="009807CF"/>
    <w:rsid w:val="00980955"/>
    <w:rsid w:val="009811C1"/>
    <w:rsid w:val="00981359"/>
    <w:rsid w:val="00981856"/>
    <w:rsid w:val="009821D8"/>
    <w:rsid w:val="009822AA"/>
    <w:rsid w:val="009822EA"/>
    <w:rsid w:val="009823AA"/>
    <w:rsid w:val="0098265C"/>
    <w:rsid w:val="00982ADB"/>
    <w:rsid w:val="00982E9E"/>
    <w:rsid w:val="00982F8E"/>
    <w:rsid w:val="0098302C"/>
    <w:rsid w:val="00983346"/>
    <w:rsid w:val="00983515"/>
    <w:rsid w:val="0098378C"/>
    <w:rsid w:val="00983BDA"/>
    <w:rsid w:val="009849BA"/>
    <w:rsid w:val="00984F42"/>
    <w:rsid w:val="0098513A"/>
    <w:rsid w:val="00985146"/>
    <w:rsid w:val="009851D5"/>
    <w:rsid w:val="00985581"/>
    <w:rsid w:val="009855A9"/>
    <w:rsid w:val="0098568C"/>
    <w:rsid w:val="0098578A"/>
    <w:rsid w:val="0098580E"/>
    <w:rsid w:val="009859FF"/>
    <w:rsid w:val="00985A46"/>
    <w:rsid w:val="00985BF8"/>
    <w:rsid w:val="00985D83"/>
    <w:rsid w:val="00985FD9"/>
    <w:rsid w:val="00986039"/>
    <w:rsid w:val="009861F8"/>
    <w:rsid w:val="009862D9"/>
    <w:rsid w:val="0098638B"/>
    <w:rsid w:val="0098642E"/>
    <w:rsid w:val="009867CF"/>
    <w:rsid w:val="00986A2E"/>
    <w:rsid w:val="00986E72"/>
    <w:rsid w:val="00986F8E"/>
    <w:rsid w:val="00986FA7"/>
    <w:rsid w:val="00987307"/>
    <w:rsid w:val="00987684"/>
    <w:rsid w:val="00987799"/>
    <w:rsid w:val="00987A73"/>
    <w:rsid w:val="00987D55"/>
    <w:rsid w:val="00987DFF"/>
    <w:rsid w:val="00987F0C"/>
    <w:rsid w:val="00987F3B"/>
    <w:rsid w:val="009902E5"/>
    <w:rsid w:val="00990334"/>
    <w:rsid w:val="00990475"/>
    <w:rsid w:val="009904D0"/>
    <w:rsid w:val="0099058B"/>
    <w:rsid w:val="0099061B"/>
    <w:rsid w:val="00990639"/>
    <w:rsid w:val="00990722"/>
    <w:rsid w:val="009907A5"/>
    <w:rsid w:val="0099098D"/>
    <w:rsid w:val="009910A2"/>
    <w:rsid w:val="0099121B"/>
    <w:rsid w:val="009914C5"/>
    <w:rsid w:val="00991639"/>
    <w:rsid w:val="00991AC2"/>
    <w:rsid w:val="00991AF7"/>
    <w:rsid w:val="00991FE1"/>
    <w:rsid w:val="009923BE"/>
    <w:rsid w:val="009924AE"/>
    <w:rsid w:val="009924F9"/>
    <w:rsid w:val="009928AC"/>
    <w:rsid w:val="00992A7A"/>
    <w:rsid w:val="00992AEA"/>
    <w:rsid w:val="00992B8E"/>
    <w:rsid w:val="009930A4"/>
    <w:rsid w:val="009930AC"/>
    <w:rsid w:val="0099349F"/>
    <w:rsid w:val="009938B5"/>
    <w:rsid w:val="00993CB1"/>
    <w:rsid w:val="0099422F"/>
    <w:rsid w:val="00994A1D"/>
    <w:rsid w:val="00994F6E"/>
    <w:rsid w:val="009951D4"/>
    <w:rsid w:val="009953A6"/>
    <w:rsid w:val="0099566F"/>
    <w:rsid w:val="009959E5"/>
    <w:rsid w:val="00995C80"/>
    <w:rsid w:val="00995D16"/>
    <w:rsid w:val="00995FFE"/>
    <w:rsid w:val="00996027"/>
    <w:rsid w:val="009962F8"/>
    <w:rsid w:val="00996541"/>
    <w:rsid w:val="00996886"/>
    <w:rsid w:val="00996959"/>
    <w:rsid w:val="00996B3F"/>
    <w:rsid w:val="00996B90"/>
    <w:rsid w:val="00996C0C"/>
    <w:rsid w:val="00996C5D"/>
    <w:rsid w:val="00996F5C"/>
    <w:rsid w:val="0099724D"/>
    <w:rsid w:val="009972BB"/>
    <w:rsid w:val="009976DD"/>
    <w:rsid w:val="00997846"/>
    <w:rsid w:val="00997860"/>
    <w:rsid w:val="0099791C"/>
    <w:rsid w:val="00997C07"/>
    <w:rsid w:val="00997DAC"/>
    <w:rsid w:val="009A014F"/>
    <w:rsid w:val="009A0153"/>
    <w:rsid w:val="009A03DD"/>
    <w:rsid w:val="009A04CC"/>
    <w:rsid w:val="009A0860"/>
    <w:rsid w:val="009A092D"/>
    <w:rsid w:val="009A0B7A"/>
    <w:rsid w:val="009A0C7A"/>
    <w:rsid w:val="009A0CA6"/>
    <w:rsid w:val="009A0EF3"/>
    <w:rsid w:val="009A0F71"/>
    <w:rsid w:val="009A0FB1"/>
    <w:rsid w:val="009A105F"/>
    <w:rsid w:val="009A154F"/>
    <w:rsid w:val="009A16B2"/>
    <w:rsid w:val="009A1D0D"/>
    <w:rsid w:val="009A1F18"/>
    <w:rsid w:val="009A2079"/>
    <w:rsid w:val="009A2176"/>
    <w:rsid w:val="009A237C"/>
    <w:rsid w:val="009A32C3"/>
    <w:rsid w:val="009A35EA"/>
    <w:rsid w:val="009A3603"/>
    <w:rsid w:val="009A36F8"/>
    <w:rsid w:val="009A3C32"/>
    <w:rsid w:val="009A4034"/>
    <w:rsid w:val="009A42A3"/>
    <w:rsid w:val="009A43FD"/>
    <w:rsid w:val="009A4762"/>
    <w:rsid w:val="009A4B25"/>
    <w:rsid w:val="009A4BA4"/>
    <w:rsid w:val="009A4D95"/>
    <w:rsid w:val="009A517A"/>
    <w:rsid w:val="009A5679"/>
    <w:rsid w:val="009A56C8"/>
    <w:rsid w:val="009A61C7"/>
    <w:rsid w:val="009A6206"/>
    <w:rsid w:val="009A62FB"/>
    <w:rsid w:val="009A62FE"/>
    <w:rsid w:val="009A6ADB"/>
    <w:rsid w:val="009A6BBA"/>
    <w:rsid w:val="009A6D8D"/>
    <w:rsid w:val="009A6E02"/>
    <w:rsid w:val="009A6E31"/>
    <w:rsid w:val="009A6FB2"/>
    <w:rsid w:val="009A7274"/>
    <w:rsid w:val="009A74BE"/>
    <w:rsid w:val="009A77D6"/>
    <w:rsid w:val="009A7892"/>
    <w:rsid w:val="009A7905"/>
    <w:rsid w:val="009A7BE5"/>
    <w:rsid w:val="009A7C04"/>
    <w:rsid w:val="009A7EA9"/>
    <w:rsid w:val="009B0263"/>
    <w:rsid w:val="009B02F7"/>
    <w:rsid w:val="009B0802"/>
    <w:rsid w:val="009B0981"/>
    <w:rsid w:val="009B1279"/>
    <w:rsid w:val="009B13D8"/>
    <w:rsid w:val="009B19B8"/>
    <w:rsid w:val="009B1FC9"/>
    <w:rsid w:val="009B1FF9"/>
    <w:rsid w:val="009B204D"/>
    <w:rsid w:val="009B2497"/>
    <w:rsid w:val="009B2770"/>
    <w:rsid w:val="009B2892"/>
    <w:rsid w:val="009B2E79"/>
    <w:rsid w:val="009B3300"/>
    <w:rsid w:val="009B36E5"/>
    <w:rsid w:val="009B3CEA"/>
    <w:rsid w:val="009B3F11"/>
    <w:rsid w:val="009B4182"/>
    <w:rsid w:val="009B430A"/>
    <w:rsid w:val="009B4489"/>
    <w:rsid w:val="009B4C26"/>
    <w:rsid w:val="009B4C2C"/>
    <w:rsid w:val="009B4D6A"/>
    <w:rsid w:val="009B5087"/>
    <w:rsid w:val="009B5571"/>
    <w:rsid w:val="009B5666"/>
    <w:rsid w:val="009B5E0F"/>
    <w:rsid w:val="009B5FAA"/>
    <w:rsid w:val="009B61FB"/>
    <w:rsid w:val="009B621D"/>
    <w:rsid w:val="009B628E"/>
    <w:rsid w:val="009B6338"/>
    <w:rsid w:val="009B63CD"/>
    <w:rsid w:val="009B64CA"/>
    <w:rsid w:val="009B6567"/>
    <w:rsid w:val="009B66A8"/>
    <w:rsid w:val="009B66B9"/>
    <w:rsid w:val="009B6758"/>
    <w:rsid w:val="009B6781"/>
    <w:rsid w:val="009B698F"/>
    <w:rsid w:val="009B6C28"/>
    <w:rsid w:val="009B71D3"/>
    <w:rsid w:val="009B7272"/>
    <w:rsid w:val="009B74AC"/>
    <w:rsid w:val="009B751C"/>
    <w:rsid w:val="009B76D7"/>
    <w:rsid w:val="009B76FA"/>
    <w:rsid w:val="009B78A8"/>
    <w:rsid w:val="009B78B4"/>
    <w:rsid w:val="009B798D"/>
    <w:rsid w:val="009B79A6"/>
    <w:rsid w:val="009B7C94"/>
    <w:rsid w:val="009B7EE2"/>
    <w:rsid w:val="009B7F34"/>
    <w:rsid w:val="009C0030"/>
    <w:rsid w:val="009C013F"/>
    <w:rsid w:val="009C0265"/>
    <w:rsid w:val="009C055C"/>
    <w:rsid w:val="009C0620"/>
    <w:rsid w:val="009C066A"/>
    <w:rsid w:val="009C07DE"/>
    <w:rsid w:val="009C092C"/>
    <w:rsid w:val="009C09B8"/>
    <w:rsid w:val="009C0B90"/>
    <w:rsid w:val="009C0C44"/>
    <w:rsid w:val="009C0D4E"/>
    <w:rsid w:val="009C0EA9"/>
    <w:rsid w:val="009C0F86"/>
    <w:rsid w:val="009C1558"/>
    <w:rsid w:val="009C180B"/>
    <w:rsid w:val="009C1A01"/>
    <w:rsid w:val="009C1AB4"/>
    <w:rsid w:val="009C1BC0"/>
    <w:rsid w:val="009C1E5E"/>
    <w:rsid w:val="009C1EEE"/>
    <w:rsid w:val="009C1F83"/>
    <w:rsid w:val="009C213F"/>
    <w:rsid w:val="009C22D9"/>
    <w:rsid w:val="009C2459"/>
    <w:rsid w:val="009C2517"/>
    <w:rsid w:val="009C2705"/>
    <w:rsid w:val="009C28AE"/>
    <w:rsid w:val="009C2933"/>
    <w:rsid w:val="009C3802"/>
    <w:rsid w:val="009C3B79"/>
    <w:rsid w:val="009C3C07"/>
    <w:rsid w:val="009C41D9"/>
    <w:rsid w:val="009C43B3"/>
    <w:rsid w:val="009C44BA"/>
    <w:rsid w:val="009C475F"/>
    <w:rsid w:val="009C4B31"/>
    <w:rsid w:val="009C4BC6"/>
    <w:rsid w:val="009C4D20"/>
    <w:rsid w:val="009C4EB4"/>
    <w:rsid w:val="009C5119"/>
    <w:rsid w:val="009C52C9"/>
    <w:rsid w:val="009C5B9A"/>
    <w:rsid w:val="009C5D66"/>
    <w:rsid w:val="009C5DC2"/>
    <w:rsid w:val="009C5E6C"/>
    <w:rsid w:val="009C61B9"/>
    <w:rsid w:val="009C621C"/>
    <w:rsid w:val="009C6288"/>
    <w:rsid w:val="009C63D9"/>
    <w:rsid w:val="009C66D7"/>
    <w:rsid w:val="009C6BB5"/>
    <w:rsid w:val="009C6CB1"/>
    <w:rsid w:val="009C6F3B"/>
    <w:rsid w:val="009C6FBF"/>
    <w:rsid w:val="009C73BE"/>
    <w:rsid w:val="009C76F9"/>
    <w:rsid w:val="009C775D"/>
    <w:rsid w:val="009C7801"/>
    <w:rsid w:val="009C7BE2"/>
    <w:rsid w:val="009C7D7C"/>
    <w:rsid w:val="009C7FA3"/>
    <w:rsid w:val="009D0100"/>
    <w:rsid w:val="009D02DA"/>
    <w:rsid w:val="009D0340"/>
    <w:rsid w:val="009D055D"/>
    <w:rsid w:val="009D06BC"/>
    <w:rsid w:val="009D06FC"/>
    <w:rsid w:val="009D0F41"/>
    <w:rsid w:val="009D11BC"/>
    <w:rsid w:val="009D13BA"/>
    <w:rsid w:val="009D164A"/>
    <w:rsid w:val="009D17D0"/>
    <w:rsid w:val="009D192D"/>
    <w:rsid w:val="009D1B35"/>
    <w:rsid w:val="009D1F4C"/>
    <w:rsid w:val="009D2128"/>
    <w:rsid w:val="009D21C5"/>
    <w:rsid w:val="009D2499"/>
    <w:rsid w:val="009D251E"/>
    <w:rsid w:val="009D2659"/>
    <w:rsid w:val="009D2B5A"/>
    <w:rsid w:val="009D2BC2"/>
    <w:rsid w:val="009D2D3B"/>
    <w:rsid w:val="009D305D"/>
    <w:rsid w:val="009D321D"/>
    <w:rsid w:val="009D3445"/>
    <w:rsid w:val="009D34B7"/>
    <w:rsid w:val="009D3771"/>
    <w:rsid w:val="009D37A0"/>
    <w:rsid w:val="009D3A85"/>
    <w:rsid w:val="009D3B69"/>
    <w:rsid w:val="009D3C12"/>
    <w:rsid w:val="009D4130"/>
    <w:rsid w:val="009D4527"/>
    <w:rsid w:val="009D4FC5"/>
    <w:rsid w:val="009D501C"/>
    <w:rsid w:val="009D5260"/>
    <w:rsid w:val="009D5336"/>
    <w:rsid w:val="009D5A7B"/>
    <w:rsid w:val="009D5C1A"/>
    <w:rsid w:val="009D5E26"/>
    <w:rsid w:val="009D5ECE"/>
    <w:rsid w:val="009D644A"/>
    <w:rsid w:val="009D6471"/>
    <w:rsid w:val="009D6591"/>
    <w:rsid w:val="009D678B"/>
    <w:rsid w:val="009D67EE"/>
    <w:rsid w:val="009D69B1"/>
    <w:rsid w:val="009D6AC5"/>
    <w:rsid w:val="009D6CCC"/>
    <w:rsid w:val="009D6E92"/>
    <w:rsid w:val="009D7005"/>
    <w:rsid w:val="009D7036"/>
    <w:rsid w:val="009D7224"/>
    <w:rsid w:val="009D7330"/>
    <w:rsid w:val="009D735C"/>
    <w:rsid w:val="009D740E"/>
    <w:rsid w:val="009D750F"/>
    <w:rsid w:val="009D7555"/>
    <w:rsid w:val="009D77E0"/>
    <w:rsid w:val="009D78BA"/>
    <w:rsid w:val="009D7C42"/>
    <w:rsid w:val="009E0080"/>
    <w:rsid w:val="009E01AE"/>
    <w:rsid w:val="009E030F"/>
    <w:rsid w:val="009E0545"/>
    <w:rsid w:val="009E09A7"/>
    <w:rsid w:val="009E1727"/>
    <w:rsid w:val="009E1D12"/>
    <w:rsid w:val="009E1EA4"/>
    <w:rsid w:val="009E268D"/>
    <w:rsid w:val="009E2736"/>
    <w:rsid w:val="009E27F6"/>
    <w:rsid w:val="009E2AF5"/>
    <w:rsid w:val="009E2B3F"/>
    <w:rsid w:val="009E2BA8"/>
    <w:rsid w:val="009E34FD"/>
    <w:rsid w:val="009E3A41"/>
    <w:rsid w:val="009E3C6C"/>
    <w:rsid w:val="009E3E25"/>
    <w:rsid w:val="009E429F"/>
    <w:rsid w:val="009E4480"/>
    <w:rsid w:val="009E4949"/>
    <w:rsid w:val="009E498B"/>
    <w:rsid w:val="009E4A5D"/>
    <w:rsid w:val="009E4AD0"/>
    <w:rsid w:val="009E4B82"/>
    <w:rsid w:val="009E4BA5"/>
    <w:rsid w:val="009E50C2"/>
    <w:rsid w:val="009E5343"/>
    <w:rsid w:val="009E5463"/>
    <w:rsid w:val="009E5854"/>
    <w:rsid w:val="009E59AC"/>
    <w:rsid w:val="009E5B6C"/>
    <w:rsid w:val="009E5BB7"/>
    <w:rsid w:val="009E5CD8"/>
    <w:rsid w:val="009E5D97"/>
    <w:rsid w:val="009E602A"/>
    <w:rsid w:val="009E604D"/>
    <w:rsid w:val="009E6261"/>
    <w:rsid w:val="009E737F"/>
    <w:rsid w:val="009E7932"/>
    <w:rsid w:val="009E7B0E"/>
    <w:rsid w:val="009E7B48"/>
    <w:rsid w:val="009E7FCA"/>
    <w:rsid w:val="009F01AC"/>
    <w:rsid w:val="009F041C"/>
    <w:rsid w:val="009F0456"/>
    <w:rsid w:val="009F0596"/>
    <w:rsid w:val="009F08D1"/>
    <w:rsid w:val="009F0B26"/>
    <w:rsid w:val="009F0D73"/>
    <w:rsid w:val="009F184D"/>
    <w:rsid w:val="009F190B"/>
    <w:rsid w:val="009F1A2D"/>
    <w:rsid w:val="009F1B2D"/>
    <w:rsid w:val="009F1B85"/>
    <w:rsid w:val="009F1CC8"/>
    <w:rsid w:val="009F1DE5"/>
    <w:rsid w:val="009F1E2E"/>
    <w:rsid w:val="009F20C4"/>
    <w:rsid w:val="009F24A9"/>
    <w:rsid w:val="009F2CAE"/>
    <w:rsid w:val="009F2DC1"/>
    <w:rsid w:val="009F2EF0"/>
    <w:rsid w:val="009F38E9"/>
    <w:rsid w:val="009F3BA9"/>
    <w:rsid w:val="009F3D5F"/>
    <w:rsid w:val="009F3D6D"/>
    <w:rsid w:val="009F3E56"/>
    <w:rsid w:val="009F3EE9"/>
    <w:rsid w:val="009F41DD"/>
    <w:rsid w:val="009F431A"/>
    <w:rsid w:val="009F46E4"/>
    <w:rsid w:val="009F487B"/>
    <w:rsid w:val="009F48DE"/>
    <w:rsid w:val="009F4AE1"/>
    <w:rsid w:val="009F4AF9"/>
    <w:rsid w:val="009F4B5C"/>
    <w:rsid w:val="009F4F38"/>
    <w:rsid w:val="009F53DB"/>
    <w:rsid w:val="009F55D4"/>
    <w:rsid w:val="009F5720"/>
    <w:rsid w:val="009F573A"/>
    <w:rsid w:val="009F5C28"/>
    <w:rsid w:val="009F5C6B"/>
    <w:rsid w:val="009F5EB9"/>
    <w:rsid w:val="009F60DB"/>
    <w:rsid w:val="009F6A2F"/>
    <w:rsid w:val="009F6D9E"/>
    <w:rsid w:val="009F6DC3"/>
    <w:rsid w:val="009F6E11"/>
    <w:rsid w:val="009F6E88"/>
    <w:rsid w:val="009F70B5"/>
    <w:rsid w:val="009F71BD"/>
    <w:rsid w:val="009F72BB"/>
    <w:rsid w:val="009F768D"/>
    <w:rsid w:val="00A0006F"/>
    <w:rsid w:val="00A006A3"/>
    <w:rsid w:val="00A00786"/>
    <w:rsid w:val="00A007CC"/>
    <w:rsid w:val="00A00B06"/>
    <w:rsid w:val="00A00DE0"/>
    <w:rsid w:val="00A01020"/>
    <w:rsid w:val="00A0193D"/>
    <w:rsid w:val="00A01E80"/>
    <w:rsid w:val="00A02127"/>
    <w:rsid w:val="00A023DE"/>
    <w:rsid w:val="00A02A37"/>
    <w:rsid w:val="00A02A73"/>
    <w:rsid w:val="00A02C6E"/>
    <w:rsid w:val="00A02E86"/>
    <w:rsid w:val="00A03080"/>
    <w:rsid w:val="00A031F0"/>
    <w:rsid w:val="00A03313"/>
    <w:rsid w:val="00A03430"/>
    <w:rsid w:val="00A03B83"/>
    <w:rsid w:val="00A045DE"/>
    <w:rsid w:val="00A046A3"/>
    <w:rsid w:val="00A0487B"/>
    <w:rsid w:val="00A048F5"/>
    <w:rsid w:val="00A04DCA"/>
    <w:rsid w:val="00A04E45"/>
    <w:rsid w:val="00A05208"/>
    <w:rsid w:val="00A053E7"/>
    <w:rsid w:val="00A053EF"/>
    <w:rsid w:val="00A05629"/>
    <w:rsid w:val="00A05BFB"/>
    <w:rsid w:val="00A05C21"/>
    <w:rsid w:val="00A05D82"/>
    <w:rsid w:val="00A05DA5"/>
    <w:rsid w:val="00A064FC"/>
    <w:rsid w:val="00A066C1"/>
    <w:rsid w:val="00A068F9"/>
    <w:rsid w:val="00A0705C"/>
    <w:rsid w:val="00A070CB"/>
    <w:rsid w:val="00A07190"/>
    <w:rsid w:val="00A07208"/>
    <w:rsid w:val="00A07447"/>
    <w:rsid w:val="00A075B2"/>
    <w:rsid w:val="00A075F0"/>
    <w:rsid w:val="00A07607"/>
    <w:rsid w:val="00A07986"/>
    <w:rsid w:val="00A106E0"/>
    <w:rsid w:val="00A107B2"/>
    <w:rsid w:val="00A109BD"/>
    <w:rsid w:val="00A10C29"/>
    <w:rsid w:val="00A110ED"/>
    <w:rsid w:val="00A11136"/>
    <w:rsid w:val="00A11141"/>
    <w:rsid w:val="00A11B0D"/>
    <w:rsid w:val="00A11B55"/>
    <w:rsid w:val="00A12100"/>
    <w:rsid w:val="00A123CE"/>
    <w:rsid w:val="00A12558"/>
    <w:rsid w:val="00A1280E"/>
    <w:rsid w:val="00A12C9D"/>
    <w:rsid w:val="00A12D43"/>
    <w:rsid w:val="00A12E3D"/>
    <w:rsid w:val="00A12E51"/>
    <w:rsid w:val="00A12E78"/>
    <w:rsid w:val="00A12F13"/>
    <w:rsid w:val="00A13379"/>
    <w:rsid w:val="00A133F2"/>
    <w:rsid w:val="00A13447"/>
    <w:rsid w:val="00A134FE"/>
    <w:rsid w:val="00A1388C"/>
    <w:rsid w:val="00A13B88"/>
    <w:rsid w:val="00A13E74"/>
    <w:rsid w:val="00A140B1"/>
    <w:rsid w:val="00A141BE"/>
    <w:rsid w:val="00A141F8"/>
    <w:rsid w:val="00A142DD"/>
    <w:rsid w:val="00A145DE"/>
    <w:rsid w:val="00A14C9D"/>
    <w:rsid w:val="00A14DD2"/>
    <w:rsid w:val="00A14E62"/>
    <w:rsid w:val="00A150A2"/>
    <w:rsid w:val="00A155BB"/>
    <w:rsid w:val="00A158FD"/>
    <w:rsid w:val="00A15C51"/>
    <w:rsid w:val="00A15D50"/>
    <w:rsid w:val="00A15D7F"/>
    <w:rsid w:val="00A15E93"/>
    <w:rsid w:val="00A161B2"/>
    <w:rsid w:val="00A1621F"/>
    <w:rsid w:val="00A162ED"/>
    <w:rsid w:val="00A16387"/>
    <w:rsid w:val="00A16685"/>
    <w:rsid w:val="00A1705E"/>
    <w:rsid w:val="00A179CB"/>
    <w:rsid w:val="00A17C58"/>
    <w:rsid w:val="00A17CF0"/>
    <w:rsid w:val="00A2047B"/>
    <w:rsid w:val="00A209DD"/>
    <w:rsid w:val="00A20E1A"/>
    <w:rsid w:val="00A20EF5"/>
    <w:rsid w:val="00A21083"/>
    <w:rsid w:val="00A210E8"/>
    <w:rsid w:val="00A21234"/>
    <w:rsid w:val="00A216BD"/>
    <w:rsid w:val="00A21745"/>
    <w:rsid w:val="00A219E4"/>
    <w:rsid w:val="00A21B1E"/>
    <w:rsid w:val="00A22046"/>
    <w:rsid w:val="00A224E6"/>
    <w:rsid w:val="00A225BE"/>
    <w:rsid w:val="00A225C1"/>
    <w:rsid w:val="00A225FD"/>
    <w:rsid w:val="00A226B7"/>
    <w:rsid w:val="00A226EE"/>
    <w:rsid w:val="00A22C67"/>
    <w:rsid w:val="00A230FB"/>
    <w:rsid w:val="00A23700"/>
    <w:rsid w:val="00A23A68"/>
    <w:rsid w:val="00A23BCD"/>
    <w:rsid w:val="00A23DAF"/>
    <w:rsid w:val="00A24022"/>
    <w:rsid w:val="00A24250"/>
    <w:rsid w:val="00A24387"/>
    <w:rsid w:val="00A24539"/>
    <w:rsid w:val="00A2508C"/>
    <w:rsid w:val="00A25157"/>
    <w:rsid w:val="00A25186"/>
    <w:rsid w:val="00A25483"/>
    <w:rsid w:val="00A25FB9"/>
    <w:rsid w:val="00A26121"/>
    <w:rsid w:val="00A26274"/>
    <w:rsid w:val="00A26373"/>
    <w:rsid w:val="00A266D1"/>
    <w:rsid w:val="00A267EF"/>
    <w:rsid w:val="00A26B8D"/>
    <w:rsid w:val="00A26BAB"/>
    <w:rsid w:val="00A26BB1"/>
    <w:rsid w:val="00A27030"/>
    <w:rsid w:val="00A274EE"/>
    <w:rsid w:val="00A27648"/>
    <w:rsid w:val="00A27A67"/>
    <w:rsid w:val="00A27AF5"/>
    <w:rsid w:val="00A27CF5"/>
    <w:rsid w:val="00A27F34"/>
    <w:rsid w:val="00A30211"/>
    <w:rsid w:val="00A3046B"/>
    <w:rsid w:val="00A30728"/>
    <w:rsid w:val="00A3073B"/>
    <w:rsid w:val="00A30B3F"/>
    <w:rsid w:val="00A30DEC"/>
    <w:rsid w:val="00A310FE"/>
    <w:rsid w:val="00A314A3"/>
    <w:rsid w:val="00A314C9"/>
    <w:rsid w:val="00A31749"/>
    <w:rsid w:val="00A31A98"/>
    <w:rsid w:val="00A31E75"/>
    <w:rsid w:val="00A31F8F"/>
    <w:rsid w:val="00A3203D"/>
    <w:rsid w:val="00A321C9"/>
    <w:rsid w:val="00A32365"/>
    <w:rsid w:val="00A3237C"/>
    <w:rsid w:val="00A32386"/>
    <w:rsid w:val="00A32867"/>
    <w:rsid w:val="00A32A26"/>
    <w:rsid w:val="00A32AE8"/>
    <w:rsid w:val="00A32AF9"/>
    <w:rsid w:val="00A32CB3"/>
    <w:rsid w:val="00A32CEB"/>
    <w:rsid w:val="00A32EED"/>
    <w:rsid w:val="00A3309C"/>
    <w:rsid w:val="00A3346B"/>
    <w:rsid w:val="00A33884"/>
    <w:rsid w:val="00A338AC"/>
    <w:rsid w:val="00A33AA5"/>
    <w:rsid w:val="00A33D5C"/>
    <w:rsid w:val="00A342A7"/>
    <w:rsid w:val="00A3435D"/>
    <w:rsid w:val="00A347BE"/>
    <w:rsid w:val="00A34A8D"/>
    <w:rsid w:val="00A34B8E"/>
    <w:rsid w:val="00A34E7F"/>
    <w:rsid w:val="00A35459"/>
    <w:rsid w:val="00A35638"/>
    <w:rsid w:val="00A3564A"/>
    <w:rsid w:val="00A35833"/>
    <w:rsid w:val="00A35834"/>
    <w:rsid w:val="00A35D9F"/>
    <w:rsid w:val="00A35F19"/>
    <w:rsid w:val="00A36160"/>
    <w:rsid w:val="00A3625A"/>
    <w:rsid w:val="00A3673B"/>
    <w:rsid w:val="00A3684D"/>
    <w:rsid w:val="00A369BC"/>
    <w:rsid w:val="00A36A39"/>
    <w:rsid w:val="00A36A73"/>
    <w:rsid w:val="00A36FCD"/>
    <w:rsid w:val="00A371EE"/>
    <w:rsid w:val="00A37456"/>
    <w:rsid w:val="00A37476"/>
    <w:rsid w:val="00A374A7"/>
    <w:rsid w:val="00A3794F"/>
    <w:rsid w:val="00A379A3"/>
    <w:rsid w:val="00A37B46"/>
    <w:rsid w:val="00A37D49"/>
    <w:rsid w:val="00A4072B"/>
    <w:rsid w:val="00A40AAF"/>
    <w:rsid w:val="00A40B2B"/>
    <w:rsid w:val="00A40BA7"/>
    <w:rsid w:val="00A41567"/>
    <w:rsid w:val="00A41710"/>
    <w:rsid w:val="00A418DE"/>
    <w:rsid w:val="00A41AC9"/>
    <w:rsid w:val="00A41B83"/>
    <w:rsid w:val="00A41E0C"/>
    <w:rsid w:val="00A42057"/>
    <w:rsid w:val="00A422C2"/>
    <w:rsid w:val="00A423B3"/>
    <w:rsid w:val="00A4258F"/>
    <w:rsid w:val="00A42677"/>
    <w:rsid w:val="00A4267E"/>
    <w:rsid w:val="00A42819"/>
    <w:rsid w:val="00A432E3"/>
    <w:rsid w:val="00A43540"/>
    <w:rsid w:val="00A43C1F"/>
    <w:rsid w:val="00A43D67"/>
    <w:rsid w:val="00A43D86"/>
    <w:rsid w:val="00A43F44"/>
    <w:rsid w:val="00A4436B"/>
    <w:rsid w:val="00A44582"/>
    <w:rsid w:val="00A447FE"/>
    <w:rsid w:val="00A44817"/>
    <w:rsid w:val="00A44999"/>
    <w:rsid w:val="00A44B67"/>
    <w:rsid w:val="00A45211"/>
    <w:rsid w:val="00A4522A"/>
    <w:rsid w:val="00A4579C"/>
    <w:rsid w:val="00A46400"/>
    <w:rsid w:val="00A464F0"/>
    <w:rsid w:val="00A4675E"/>
    <w:rsid w:val="00A467C5"/>
    <w:rsid w:val="00A46847"/>
    <w:rsid w:val="00A46F9A"/>
    <w:rsid w:val="00A47823"/>
    <w:rsid w:val="00A478DC"/>
    <w:rsid w:val="00A478E5"/>
    <w:rsid w:val="00A47C7E"/>
    <w:rsid w:val="00A502A9"/>
    <w:rsid w:val="00A5056F"/>
    <w:rsid w:val="00A506E8"/>
    <w:rsid w:val="00A50A2A"/>
    <w:rsid w:val="00A50DC9"/>
    <w:rsid w:val="00A5103E"/>
    <w:rsid w:val="00A5115A"/>
    <w:rsid w:val="00A51429"/>
    <w:rsid w:val="00A51530"/>
    <w:rsid w:val="00A5190A"/>
    <w:rsid w:val="00A51BA3"/>
    <w:rsid w:val="00A51D3D"/>
    <w:rsid w:val="00A51E0A"/>
    <w:rsid w:val="00A51E17"/>
    <w:rsid w:val="00A51ECD"/>
    <w:rsid w:val="00A51F7A"/>
    <w:rsid w:val="00A521CF"/>
    <w:rsid w:val="00A5239B"/>
    <w:rsid w:val="00A524EA"/>
    <w:rsid w:val="00A528D1"/>
    <w:rsid w:val="00A52AA5"/>
    <w:rsid w:val="00A52BA9"/>
    <w:rsid w:val="00A52C59"/>
    <w:rsid w:val="00A52CA5"/>
    <w:rsid w:val="00A530C4"/>
    <w:rsid w:val="00A530D2"/>
    <w:rsid w:val="00A53211"/>
    <w:rsid w:val="00A5359F"/>
    <w:rsid w:val="00A53978"/>
    <w:rsid w:val="00A539A0"/>
    <w:rsid w:val="00A53FD3"/>
    <w:rsid w:val="00A542B7"/>
    <w:rsid w:val="00A544C3"/>
    <w:rsid w:val="00A54572"/>
    <w:rsid w:val="00A54965"/>
    <w:rsid w:val="00A54B4B"/>
    <w:rsid w:val="00A54C81"/>
    <w:rsid w:val="00A552FE"/>
    <w:rsid w:val="00A555E1"/>
    <w:rsid w:val="00A55733"/>
    <w:rsid w:val="00A55997"/>
    <w:rsid w:val="00A55BAC"/>
    <w:rsid w:val="00A55D43"/>
    <w:rsid w:val="00A56120"/>
    <w:rsid w:val="00A56302"/>
    <w:rsid w:val="00A563E3"/>
    <w:rsid w:val="00A565C4"/>
    <w:rsid w:val="00A56B35"/>
    <w:rsid w:val="00A56C08"/>
    <w:rsid w:val="00A56E99"/>
    <w:rsid w:val="00A56EC2"/>
    <w:rsid w:val="00A56EE4"/>
    <w:rsid w:val="00A56F5C"/>
    <w:rsid w:val="00A574F8"/>
    <w:rsid w:val="00A57A7F"/>
    <w:rsid w:val="00A57AE1"/>
    <w:rsid w:val="00A57D29"/>
    <w:rsid w:val="00A601E9"/>
    <w:rsid w:val="00A6030F"/>
    <w:rsid w:val="00A606D5"/>
    <w:rsid w:val="00A60713"/>
    <w:rsid w:val="00A60B01"/>
    <w:rsid w:val="00A60BA8"/>
    <w:rsid w:val="00A615D8"/>
    <w:rsid w:val="00A6161D"/>
    <w:rsid w:val="00A61938"/>
    <w:rsid w:val="00A619C6"/>
    <w:rsid w:val="00A61AEC"/>
    <w:rsid w:val="00A61DAD"/>
    <w:rsid w:val="00A62430"/>
    <w:rsid w:val="00A62464"/>
    <w:rsid w:val="00A628C6"/>
    <w:rsid w:val="00A62983"/>
    <w:rsid w:val="00A62A15"/>
    <w:rsid w:val="00A62B4F"/>
    <w:rsid w:val="00A62D3E"/>
    <w:rsid w:val="00A6331F"/>
    <w:rsid w:val="00A63481"/>
    <w:rsid w:val="00A63760"/>
    <w:rsid w:val="00A63F55"/>
    <w:rsid w:val="00A641A0"/>
    <w:rsid w:val="00A644E4"/>
    <w:rsid w:val="00A64688"/>
    <w:rsid w:val="00A648DA"/>
    <w:rsid w:val="00A649C8"/>
    <w:rsid w:val="00A64B32"/>
    <w:rsid w:val="00A64D2E"/>
    <w:rsid w:val="00A64D6F"/>
    <w:rsid w:val="00A64E3E"/>
    <w:rsid w:val="00A64FD9"/>
    <w:rsid w:val="00A6506F"/>
    <w:rsid w:val="00A654B6"/>
    <w:rsid w:val="00A65730"/>
    <w:rsid w:val="00A6577E"/>
    <w:rsid w:val="00A65855"/>
    <w:rsid w:val="00A66072"/>
    <w:rsid w:val="00A661B7"/>
    <w:rsid w:val="00A6624D"/>
    <w:rsid w:val="00A66583"/>
    <w:rsid w:val="00A66722"/>
    <w:rsid w:val="00A667D9"/>
    <w:rsid w:val="00A667F3"/>
    <w:rsid w:val="00A6681B"/>
    <w:rsid w:val="00A6683B"/>
    <w:rsid w:val="00A66D89"/>
    <w:rsid w:val="00A67B18"/>
    <w:rsid w:val="00A67B85"/>
    <w:rsid w:val="00A67BC8"/>
    <w:rsid w:val="00A67E7B"/>
    <w:rsid w:val="00A703E3"/>
    <w:rsid w:val="00A70630"/>
    <w:rsid w:val="00A7082A"/>
    <w:rsid w:val="00A70A95"/>
    <w:rsid w:val="00A70DE3"/>
    <w:rsid w:val="00A7107C"/>
    <w:rsid w:val="00A714B6"/>
    <w:rsid w:val="00A71515"/>
    <w:rsid w:val="00A7161D"/>
    <w:rsid w:val="00A718F0"/>
    <w:rsid w:val="00A72414"/>
    <w:rsid w:val="00A724DF"/>
    <w:rsid w:val="00A7250D"/>
    <w:rsid w:val="00A726A1"/>
    <w:rsid w:val="00A72CB7"/>
    <w:rsid w:val="00A72FA0"/>
    <w:rsid w:val="00A72FFA"/>
    <w:rsid w:val="00A73235"/>
    <w:rsid w:val="00A73469"/>
    <w:rsid w:val="00A73546"/>
    <w:rsid w:val="00A73756"/>
    <w:rsid w:val="00A73A1B"/>
    <w:rsid w:val="00A73E74"/>
    <w:rsid w:val="00A73ED0"/>
    <w:rsid w:val="00A73F1D"/>
    <w:rsid w:val="00A73FD6"/>
    <w:rsid w:val="00A743C5"/>
    <w:rsid w:val="00A7440A"/>
    <w:rsid w:val="00A744F5"/>
    <w:rsid w:val="00A746E9"/>
    <w:rsid w:val="00A747F2"/>
    <w:rsid w:val="00A749CD"/>
    <w:rsid w:val="00A74E26"/>
    <w:rsid w:val="00A74EF1"/>
    <w:rsid w:val="00A75235"/>
    <w:rsid w:val="00A75400"/>
    <w:rsid w:val="00A7543C"/>
    <w:rsid w:val="00A75CF3"/>
    <w:rsid w:val="00A75E15"/>
    <w:rsid w:val="00A75FD0"/>
    <w:rsid w:val="00A762EC"/>
    <w:rsid w:val="00A7630B"/>
    <w:rsid w:val="00A769B5"/>
    <w:rsid w:val="00A76EC6"/>
    <w:rsid w:val="00A771B4"/>
    <w:rsid w:val="00A772DE"/>
    <w:rsid w:val="00A77619"/>
    <w:rsid w:val="00A77AF6"/>
    <w:rsid w:val="00A77BE1"/>
    <w:rsid w:val="00A77C5F"/>
    <w:rsid w:val="00A800A5"/>
    <w:rsid w:val="00A800DD"/>
    <w:rsid w:val="00A80621"/>
    <w:rsid w:val="00A8077C"/>
    <w:rsid w:val="00A80A46"/>
    <w:rsid w:val="00A80F20"/>
    <w:rsid w:val="00A81003"/>
    <w:rsid w:val="00A81643"/>
    <w:rsid w:val="00A81668"/>
    <w:rsid w:val="00A81814"/>
    <w:rsid w:val="00A819C9"/>
    <w:rsid w:val="00A81ABE"/>
    <w:rsid w:val="00A81B70"/>
    <w:rsid w:val="00A82254"/>
    <w:rsid w:val="00A82297"/>
    <w:rsid w:val="00A82B13"/>
    <w:rsid w:val="00A82E6E"/>
    <w:rsid w:val="00A83031"/>
    <w:rsid w:val="00A8383F"/>
    <w:rsid w:val="00A84181"/>
    <w:rsid w:val="00A846CA"/>
    <w:rsid w:val="00A84819"/>
    <w:rsid w:val="00A84955"/>
    <w:rsid w:val="00A84A3F"/>
    <w:rsid w:val="00A855AB"/>
    <w:rsid w:val="00A8587A"/>
    <w:rsid w:val="00A85942"/>
    <w:rsid w:val="00A86720"/>
    <w:rsid w:val="00A868AC"/>
    <w:rsid w:val="00A8698B"/>
    <w:rsid w:val="00A86C14"/>
    <w:rsid w:val="00A86D4B"/>
    <w:rsid w:val="00A86ED7"/>
    <w:rsid w:val="00A87042"/>
    <w:rsid w:val="00A8759B"/>
    <w:rsid w:val="00A87687"/>
    <w:rsid w:val="00A8791D"/>
    <w:rsid w:val="00A879CF"/>
    <w:rsid w:val="00A87C9F"/>
    <w:rsid w:val="00A9004D"/>
    <w:rsid w:val="00A9011A"/>
    <w:rsid w:val="00A903C0"/>
    <w:rsid w:val="00A90B03"/>
    <w:rsid w:val="00A90D4F"/>
    <w:rsid w:val="00A90E26"/>
    <w:rsid w:val="00A90EFB"/>
    <w:rsid w:val="00A9148E"/>
    <w:rsid w:val="00A91CC2"/>
    <w:rsid w:val="00A91CD6"/>
    <w:rsid w:val="00A92080"/>
    <w:rsid w:val="00A923AF"/>
    <w:rsid w:val="00A925DA"/>
    <w:rsid w:val="00A929AE"/>
    <w:rsid w:val="00A9309F"/>
    <w:rsid w:val="00A93CDC"/>
    <w:rsid w:val="00A93F85"/>
    <w:rsid w:val="00A94337"/>
    <w:rsid w:val="00A9443A"/>
    <w:rsid w:val="00A94455"/>
    <w:rsid w:val="00A946C6"/>
    <w:rsid w:val="00A94A80"/>
    <w:rsid w:val="00A94D0F"/>
    <w:rsid w:val="00A94D65"/>
    <w:rsid w:val="00A95167"/>
    <w:rsid w:val="00A9529C"/>
    <w:rsid w:val="00A95474"/>
    <w:rsid w:val="00A95751"/>
    <w:rsid w:val="00A95B45"/>
    <w:rsid w:val="00A95B51"/>
    <w:rsid w:val="00A95CEA"/>
    <w:rsid w:val="00A95D92"/>
    <w:rsid w:val="00A95DA5"/>
    <w:rsid w:val="00A9601E"/>
    <w:rsid w:val="00A960CF"/>
    <w:rsid w:val="00A961FC"/>
    <w:rsid w:val="00A96200"/>
    <w:rsid w:val="00A963B6"/>
    <w:rsid w:val="00A965F6"/>
    <w:rsid w:val="00A96733"/>
    <w:rsid w:val="00A96A42"/>
    <w:rsid w:val="00A96B22"/>
    <w:rsid w:val="00A96C19"/>
    <w:rsid w:val="00A96C8E"/>
    <w:rsid w:val="00A97318"/>
    <w:rsid w:val="00A973B2"/>
    <w:rsid w:val="00A974BF"/>
    <w:rsid w:val="00A9751C"/>
    <w:rsid w:val="00A97618"/>
    <w:rsid w:val="00A9778F"/>
    <w:rsid w:val="00A97D44"/>
    <w:rsid w:val="00A97ED5"/>
    <w:rsid w:val="00AA0228"/>
    <w:rsid w:val="00AA0484"/>
    <w:rsid w:val="00AA04D7"/>
    <w:rsid w:val="00AA0502"/>
    <w:rsid w:val="00AA08CA"/>
    <w:rsid w:val="00AA0A4F"/>
    <w:rsid w:val="00AA0BBE"/>
    <w:rsid w:val="00AA0CBE"/>
    <w:rsid w:val="00AA0E9B"/>
    <w:rsid w:val="00AA0FFE"/>
    <w:rsid w:val="00AA1135"/>
    <w:rsid w:val="00AA156E"/>
    <w:rsid w:val="00AA16F1"/>
    <w:rsid w:val="00AA1889"/>
    <w:rsid w:val="00AA1C22"/>
    <w:rsid w:val="00AA1D36"/>
    <w:rsid w:val="00AA1F3A"/>
    <w:rsid w:val="00AA2069"/>
    <w:rsid w:val="00AA20A4"/>
    <w:rsid w:val="00AA25F9"/>
    <w:rsid w:val="00AA264F"/>
    <w:rsid w:val="00AA2A1B"/>
    <w:rsid w:val="00AA3190"/>
    <w:rsid w:val="00AA3566"/>
    <w:rsid w:val="00AA38C5"/>
    <w:rsid w:val="00AA38D3"/>
    <w:rsid w:val="00AA39F4"/>
    <w:rsid w:val="00AA3A5B"/>
    <w:rsid w:val="00AA3BBB"/>
    <w:rsid w:val="00AA3C37"/>
    <w:rsid w:val="00AA3D2A"/>
    <w:rsid w:val="00AA4005"/>
    <w:rsid w:val="00AA42DF"/>
    <w:rsid w:val="00AA439A"/>
    <w:rsid w:val="00AA47BB"/>
    <w:rsid w:val="00AA4954"/>
    <w:rsid w:val="00AA4E7E"/>
    <w:rsid w:val="00AA5225"/>
    <w:rsid w:val="00AA549E"/>
    <w:rsid w:val="00AA54E1"/>
    <w:rsid w:val="00AA55FC"/>
    <w:rsid w:val="00AA5609"/>
    <w:rsid w:val="00AA5663"/>
    <w:rsid w:val="00AA5CD4"/>
    <w:rsid w:val="00AA5D63"/>
    <w:rsid w:val="00AA5D9A"/>
    <w:rsid w:val="00AA6018"/>
    <w:rsid w:val="00AA6034"/>
    <w:rsid w:val="00AA67F0"/>
    <w:rsid w:val="00AA6FA3"/>
    <w:rsid w:val="00AA6FAC"/>
    <w:rsid w:val="00AA70EE"/>
    <w:rsid w:val="00AA7203"/>
    <w:rsid w:val="00AA769C"/>
    <w:rsid w:val="00AA7D49"/>
    <w:rsid w:val="00AB0254"/>
    <w:rsid w:val="00AB04B6"/>
    <w:rsid w:val="00AB0578"/>
    <w:rsid w:val="00AB0779"/>
    <w:rsid w:val="00AB08D9"/>
    <w:rsid w:val="00AB090B"/>
    <w:rsid w:val="00AB0ADA"/>
    <w:rsid w:val="00AB0B56"/>
    <w:rsid w:val="00AB0BD8"/>
    <w:rsid w:val="00AB0C08"/>
    <w:rsid w:val="00AB1238"/>
    <w:rsid w:val="00AB1776"/>
    <w:rsid w:val="00AB1868"/>
    <w:rsid w:val="00AB1E17"/>
    <w:rsid w:val="00AB1F0D"/>
    <w:rsid w:val="00AB1F63"/>
    <w:rsid w:val="00AB22F5"/>
    <w:rsid w:val="00AB2318"/>
    <w:rsid w:val="00AB2DD4"/>
    <w:rsid w:val="00AB3056"/>
    <w:rsid w:val="00AB3444"/>
    <w:rsid w:val="00AB3744"/>
    <w:rsid w:val="00AB3A53"/>
    <w:rsid w:val="00AB41F4"/>
    <w:rsid w:val="00AB42AF"/>
    <w:rsid w:val="00AB43FD"/>
    <w:rsid w:val="00AB45A6"/>
    <w:rsid w:val="00AB476C"/>
    <w:rsid w:val="00AB4E5B"/>
    <w:rsid w:val="00AB520C"/>
    <w:rsid w:val="00AB55FE"/>
    <w:rsid w:val="00AB5797"/>
    <w:rsid w:val="00AB597D"/>
    <w:rsid w:val="00AB5A26"/>
    <w:rsid w:val="00AB5BEF"/>
    <w:rsid w:val="00AB5CB6"/>
    <w:rsid w:val="00AB5D81"/>
    <w:rsid w:val="00AB5D85"/>
    <w:rsid w:val="00AB5F3C"/>
    <w:rsid w:val="00AB6114"/>
    <w:rsid w:val="00AB6829"/>
    <w:rsid w:val="00AB6A58"/>
    <w:rsid w:val="00AB7021"/>
    <w:rsid w:val="00AB7028"/>
    <w:rsid w:val="00AB7ACF"/>
    <w:rsid w:val="00AB7C4F"/>
    <w:rsid w:val="00AC0FD7"/>
    <w:rsid w:val="00AC1274"/>
    <w:rsid w:val="00AC13F8"/>
    <w:rsid w:val="00AC168B"/>
    <w:rsid w:val="00AC1691"/>
    <w:rsid w:val="00AC17C2"/>
    <w:rsid w:val="00AC19A1"/>
    <w:rsid w:val="00AC1A7F"/>
    <w:rsid w:val="00AC2265"/>
    <w:rsid w:val="00AC22A1"/>
    <w:rsid w:val="00AC23C2"/>
    <w:rsid w:val="00AC23D5"/>
    <w:rsid w:val="00AC2599"/>
    <w:rsid w:val="00AC26A5"/>
    <w:rsid w:val="00AC2901"/>
    <w:rsid w:val="00AC297F"/>
    <w:rsid w:val="00AC2BF0"/>
    <w:rsid w:val="00AC2C45"/>
    <w:rsid w:val="00AC3A34"/>
    <w:rsid w:val="00AC3D7D"/>
    <w:rsid w:val="00AC3DB7"/>
    <w:rsid w:val="00AC4207"/>
    <w:rsid w:val="00AC430A"/>
    <w:rsid w:val="00AC54CA"/>
    <w:rsid w:val="00AC55F3"/>
    <w:rsid w:val="00AC5695"/>
    <w:rsid w:val="00AC56DF"/>
    <w:rsid w:val="00AC58A0"/>
    <w:rsid w:val="00AC5BCA"/>
    <w:rsid w:val="00AC657B"/>
    <w:rsid w:val="00AC6AD5"/>
    <w:rsid w:val="00AC6B8B"/>
    <w:rsid w:val="00AC6F53"/>
    <w:rsid w:val="00AC714C"/>
    <w:rsid w:val="00AC72D7"/>
    <w:rsid w:val="00AC7349"/>
    <w:rsid w:val="00AC7530"/>
    <w:rsid w:val="00AC753D"/>
    <w:rsid w:val="00AC7541"/>
    <w:rsid w:val="00AC75AD"/>
    <w:rsid w:val="00AC7630"/>
    <w:rsid w:val="00AC765D"/>
    <w:rsid w:val="00AC7A5D"/>
    <w:rsid w:val="00AD0015"/>
    <w:rsid w:val="00AD0375"/>
    <w:rsid w:val="00AD0587"/>
    <w:rsid w:val="00AD0AC6"/>
    <w:rsid w:val="00AD0C20"/>
    <w:rsid w:val="00AD0D08"/>
    <w:rsid w:val="00AD0F60"/>
    <w:rsid w:val="00AD14C3"/>
    <w:rsid w:val="00AD185F"/>
    <w:rsid w:val="00AD186D"/>
    <w:rsid w:val="00AD19C4"/>
    <w:rsid w:val="00AD1B6C"/>
    <w:rsid w:val="00AD1CB0"/>
    <w:rsid w:val="00AD1CF7"/>
    <w:rsid w:val="00AD1DE7"/>
    <w:rsid w:val="00AD1E8A"/>
    <w:rsid w:val="00AD2056"/>
    <w:rsid w:val="00AD2383"/>
    <w:rsid w:val="00AD2516"/>
    <w:rsid w:val="00AD26BC"/>
    <w:rsid w:val="00AD2AAE"/>
    <w:rsid w:val="00AD2C7B"/>
    <w:rsid w:val="00AD2C82"/>
    <w:rsid w:val="00AD31EE"/>
    <w:rsid w:val="00AD3412"/>
    <w:rsid w:val="00AD37DE"/>
    <w:rsid w:val="00AD3885"/>
    <w:rsid w:val="00AD393C"/>
    <w:rsid w:val="00AD3B2A"/>
    <w:rsid w:val="00AD3DBB"/>
    <w:rsid w:val="00AD3E28"/>
    <w:rsid w:val="00AD3E8B"/>
    <w:rsid w:val="00AD3EFE"/>
    <w:rsid w:val="00AD40D0"/>
    <w:rsid w:val="00AD4189"/>
    <w:rsid w:val="00AD43AB"/>
    <w:rsid w:val="00AD4553"/>
    <w:rsid w:val="00AD467E"/>
    <w:rsid w:val="00AD4748"/>
    <w:rsid w:val="00AD47C1"/>
    <w:rsid w:val="00AD48EE"/>
    <w:rsid w:val="00AD4A19"/>
    <w:rsid w:val="00AD4A53"/>
    <w:rsid w:val="00AD4D2B"/>
    <w:rsid w:val="00AD4F0A"/>
    <w:rsid w:val="00AD4F11"/>
    <w:rsid w:val="00AD520C"/>
    <w:rsid w:val="00AD52A6"/>
    <w:rsid w:val="00AD52B0"/>
    <w:rsid w:val="00AD59AA"/>
    <w:rsid w:val="00AD5A7C"/>
    <w:rsid w:val="00AD5A80"/>
    <w:rsid w:val="00AD5ACD"/>
    <w:rsid w:val="00AD60A5"/>
    <w:rsid w:val="00AD64C5"/>
    <w:rsid w:val="00AD6614"/>
    <w:rsid w:val="00AD6777"/>
    <w:rsid w:val="00AD6909"/>
    <w:rsid w:val="00AD6A60"/>
    <w:rsid w:val="00AD6B11"/>
    <w:rsid w:val="00AD6C25"/>
    <w:rsid w:val="00AD6C9A"/>
    <w:rsid w:val="00AD6E39"/>
    <w:rsid w:val="00AD720B"/>
    <w:rsid w:val="00AD73BD"/>
    <w:rsid w:val="00AD7B13"/>
    <w:rsid w:val="00AE0344"/>
    <w:rsid w:val="00AE056E"/>
    <w:rsid w:val="00AE09A3"/>
    <w:rsid w:val="00AE0B03"/>
    <w:rsid w:val="00AE0CB6"/>
    <w:rsid w:val="00AE0F15"/>
    <w:rsid w:val="00AE0FC3"/>
    <w:rsid w:val="00AE1021"/>
    <w:rsid w:val="00AE1457"/>
    <w:rsid w:val="00AE1C01"/>
    <w:rsid w:val="00AE1E6E"/>
    <w:rsid w:val="00AE2048"/>
    <w:rsid w:val="00AE2123"/>
    <w:rsid w:val="00AE212B"/>
    <w:rsid w:val="00AE2217"/>
    <w:rsid w:val="00AE2946"/>
    <w:rsid w:val="00AE2EAF"/>
    <w:rsid w:val="00AE2F15"/>
    <w:rsid w:val="00AE3710"/>
    <w:rsid w:val="00AE384F"/>
    <w:rsid w:val="00AE3884"/>
    <w:rsid w:val="00AE3E52"/>
    <w:rsid w:val="00AE3FEC"/>
    <w:rsid w:val="00AE484A"/>
    <w:rsid w:val="00AE4C2B"/>
    <w:rsid w:val="00AE4D70"/>
    <w:rsid w:val="00AE4FA0"/>
    <w:rsid w:val="00AE5328"/>
    <w:rsid w:val="00AE53D2"/>
    <w:rsid w:val="00AE54FB"/>
    <w:rsid w:val="00AE59A3"/>
    <w:rsid w:val="00AE5AE2"/>
    <w:rsid w:val="00AE5FE7"/>
    <w:rsid w:val="00AE6021"/>
    <w:rsid w:val="00AE614C"/>
    <w:rsid w:val="00AE66B9"/>
    <w:rsid w:val="00AE6716"/>
    <w:rsid w:val="00AE6738"/>
    <w:rsid w:val="00AE679A"/>
    <w:rsid w:val="00AE6917"/>
    <w:rsid w:val="00AE77EB"/>
    <w:rsid w:val="00AE77F0"/>
    <w:rsid w:val="00AE783A"/>
    <w:rsid w:val="00AE7860"/>
    <w:rsid w:val="00AE7ACE"/>
    <w:rsid w:val="00AE7D62"/>
    <w:rsid w:val="00AE7F68"/>
    <w:rsid w:val="00AF0265"/>
    <w:rsid w:val="00AF04E6"/>
    <w:rsid w:val="00AF075D"/>
    <w:rsid w:val="00AF0B25"/>
    <w:rsid w:val="00AF0E8F"/>
    <w:rsid w:val="00AF0F8F"/>
    <w:rsid w:val="00AF0F93"/>
    <w:rsid w:val="00AF0FEC"/>
    <w:rsid w:val="00AF1121"/>
    <w:rsid w:val="00AF132E"/>
    <w:rsid w:val="00AF1944"/>
    <w:rsid w:val="00AF1CA6"/>
    <w:rsid w:val="00AF1E0C"/>
    <w:rsid w:val="00AF1F92"/>
    <w:rsid w:val="00AF225F"/>
    <w:rsid w:val="00AF2484"/>
    <w:rsid w:val="00AF24E5"/>
    <w:rsid w:val="00AF267D"/>
    <w:rsid w:val="00AF2916"/>
    <w:rsid w:val="00AF2F30"/>
    <w:rsid w:val="00AF33DB"/>
    <w:rsid w:val="00AF343A"/>
    <w:rsid w:val="00AF37FD"/>
    <w:rsid w:val="00AF387E"/>
    <w:rsid w:val="00AF3A4E"/>
    <w:rsid w:val="00AF3C11"/>
    <w:rsid w:val="00AF3C3D"/>
    <w:rsid w:val="00AF3E86"/>
    <w:rsid w:val="00AF42C1"/>
    <w:rsid w:val="00AF4606"/>
    <w:rsid w:val="00AF462E"/>
    <w:rsid w:val="00AF5069"/>
    <w:rsid w:val="00AF5289"/>
    <w:rsid w:val="00AF5426"/>
    <w:rsid w:val="00AF574A"/>
    <w:rsid w:val="00AF5976"/>
    <w:rsid w:val="00AF5A22"/>
    <w:rsid w:val="00AF5B8A"/>
    <w:rsid w:val="00AF5EB3"/>
    <w:rsid w:val="00AF5FA8"/>
    <w:rsid w:val="00AF63F5"/>
    <w:rsid w:val="00AF6D86"/>
    <w:rsid w:val="00AF7398"/>
    <w:rsid w:val="00AF748F"/>
    <w:rsid w:val="00AF75B0"/>
    <w:rsid w:val="00AF7D41"/>
    <w:rsid w:val="00AF7F3E"/>
    <w:rsid w:val="00B0032E"/>
    <w:rsid w:val="00B0035E"/>
    <w:rsid w:val="00B0036A"/>
    <w:rsid w:val="00B003AE"/>
    <w:rsid w:val="00B00625"/>
    <w:rsid w:val="00B00673"/>
    <w:rsid w:val="00B0083B"/>
    <w:rsid w:val="00B00C9E"/>
    <w:rsid w:val="00B00FEF"/>
    <w:rsid w:val="00B010EB"/>
    <w:rsid w:val="00B01101"/>
    <w:rsid w:val="00B011D8"/>
    <w:rsid w:val="00B012B3"/>
    <w:rsid w:val="00B015AE"/>
    <w:rsid w:val="00B0170A"/>
    <w:rsid w:val="00B0195A"/>
    <w:rsid w:val="00B01AA5"/>
    <w:rsid w:val="00B01B8E"/>
    <w:rsid w:val="00B01BCF"/>
    <w:rsid w:val="00B01BEE"/>
    <w:rsid w:val="00B022BC"/>
    <w:rsid w:val="00B024D8"/>
    <w:rsid w:val="00B02529"/>
    <w:rsid w:val="00B02993"/>
    <w:rsid w:val="00B02FB1"/>
    <w:rsid w:val="00B030FC"/>
    <w:rsid w:val="00B0348D"/>
    <w:rsid w:val="00B035A2"/>
    <w:rsid w:val="00B03762"/>
    <w:rsid w:val="00B03833"/>
    <w:rsid w:val="00B039D8"/>
    <w:rsid w:val="00B03AA4"/>
    <w:rsid w:val="00B03ADB"/>
    <w:rsid w:val="00B03C47"/>
    <w:rsid w:val="00B03DEF"/>
    <w:rsid w:val="00B04481"/>
    <w:rsid w:val="00B044A3"/>
    <w:rsid w:val="00B047F4"/>
    <w:rsid w:val="00B048FF"/>
    <w:rsid w:val="00B04A00"/>
    <w:rsid w:val="00B04CAB"/>
    <w:rsid w:val="00B04D22"/>
    <w:rsid w:val="00B05012"/>
    <w:rsid w:val="00B052A6"/>
    <w:rsid w:val="00B05479"/>
    <w:rsid w:val="00B05691"/>
    <w:rsid w:val="00B05846"/>
    <w:rsid w:val="00B05DA6"/>
    <w:rsid w:val="00B05E41"/>
    <w:rsid w:val="00B05E4C"/>
    <w:rsid w:val="00B05EA0"/>
    <w:rsid w:val="00B060AA"/>
    <w:rsid w:val="00B0610B"/>
    <w:rsid w:val="00B06770"/>
    <w:rsid w:val="00B06A77"/>
    <w:rsid w:val="00B06B5E"/>
    <w:rsid w:val="00B0725B"/>
    <w:rsid w:val="00B073AC"/>
    <w:rsid w:val="00B07483"/>
    <w:rsid w:val="00B07511"/>
    <w:rsid w:val="00B0767F"/>
    <w:rsid w:val="00B07A2F"/>
    <w:rsid w:val="00B07A44"/>
    <w:rsid w:val="00B07AE7"/>
    <w:rsid w:val="00B07B46"/>
    <w:rsid w:val="00B07DFD"/>
    <w:rsid w:val="00B07F60"/>
    <w:rsid w:val="00B10103"/>
    <w:rsid w:val="00B101D7"/>
    <w:rsid w:val="00B10248"/>
    <w:rsid w:val="00B1027E"/>
    <w:rsid w:val="00B1054E"/>
    <w:rsid w:val="00B10A86"/>
    <w:rsid w:val="00B10B08"/>
    <w:rsid w:val="00B10B47"/>
    <w:rsid w:val="00B111B9"/>
    <w:rsid w:val="00B111BC"/>
    <w:rsid w:val="00B1138C"/>
    <w:rsid w:val="00B113CF"/>
    <w:rsid w:val="00B11416"/>
    <w:rsid w:val="00B11532"/>
    <w:rsid w:val="00B1161A"/>
    <w:rsid w:val="00B116F3"/>
    <w:rsid w:val="00B11F58"/>
    <w:rsid w:val="00B120FE"/>
    <w:rsid w:val="00B1225D"/>
    <w:rsid w:val="00B1231D"/>
    <w:rsid w:val="00B12B13"/>
    <w:rsid w:val="00B12DF1"/>
    <w:rsid w:val="00B1305D"/>
    <w:rsid w:val="00B1325B"/>
    <w:rsid w:val="00B1325E"/>
    <w:rsid w:val="00B13292"/>
    <w:rsid w:val="00B13967"/>
    <w:rsid w:val="00B13E61"/>
    <w:rsid w:val="00B1405B"/>
    <w:rsid w:val="00B148DA"/>
    <w:rsid w:val="00B14A43"/>
    <w:rsid w:val="00B14D10"/>
    <w:rsid w:val="00B15139"/>
    <w:rsid w:val="00B152E0"/>
    <w:rsid w:val="00B15BAB"/>
    <w:rsid w:val="00B15D2B"/>
    <w:rsid w:val="00B15D50"/>
    <w:rsid w:val="00B16003"/>
    <w:rsid w:val="00B1613F"/>
    <w:rsid w:val="00B1616C"/>
    <w:rsid w:val="00B16368"/>
    <w:rsid w:val="00B166EC"/>
    <w:rsid w:val="00B168ED"/>
    <w:rsid w:val="00B16B9B"/>
    <w:rsid w:val="00B16BD4"/>
    <w:rsid w:val="00B16ED7"/>
    <w:rsid w:val="00B1763F"/>
    <w:rsid w:val="00B1764A"/>
    <w:rsid w:val="00B17A2F"/>
    <w:rsid w:val="00B17C86"/>
    <w:rsid w:val="00B17CFD"/>
    <w:rsid w:val="00B20347"/>
    <w:rsid w:val="00B20365"/>
    <w:rsid w:val="00B204C4"/>
    <w:rsid w:val="00B20551"/>
    <w:rsid w:val="00B2077D"/>
    <w:rsid w:val="00B2086B"/>
    <w:rsid w:val="00B20949"/>
    <w:rsid w:val="00B20BF0"/>
    <w:rsid w:val="00B20DCD"/>
    <w:rsid w:val="00B21057"/>
    <w:rsid w:val="00B210B6"/>
    <w:rsid w:val="00B211CE"/>
    <w:rsid w:val="00B2143A"/>
    <w:rsid w:val="00B21AAA"/>
    <w:rsid w:val="00B21B88"/>
    <w:rsid w:val="00B21BEC"/>
    <w:rsid w:val="00B21D1A"/>
    <w:rsid w:val="00B21D9F"/>
    <w:rsid w:val="00B21DD1"/>
    <w:rsid w:val="00B21E35"/>
    <w:rsid w:val="00B21E7D"/>
    <w:rsid w:val="00B21EE3"/>
    <w:rsid w:val="00B2235D"/>
    <w:rsid w:val="00B2260E"/>
    <w:rsid w:val="00B227B3"/>
    <w:rsid w:val="00B22FA7"/>
    <w:rsid w:val="00B2307C"/>
    <w:rsid w:val="00B2336E"/>
    <w:rsid w:val="00B234D7"/>
    <w:rsid w:val="00B23877"/>
    <w:rsid w:val="00B2396B"/>
    <w:rsid w:val="00B23C7B"/>
    <w:rsid w:val="00B23E3D"/>
    <w:rsid w:val="00B2421E"/>
    <w:rsid w:val="00B2465A"/>
    <w:rsid w:val="00B2470A"/>
    <w:rsid w:val="00B24847"/>
    <w:rsid w:val="00B24992"/>
    <w:rsid w:val="00B24A3F"/>
    <w:rsid w:val="00B24F2F"/>
    <w:rsid w:val="00B25027"/>
    <w:rsid w:val="00B25265"/>
    <w:rsid w:val="00B2566E"/>
    <w:rsid w:val="00B25756"/>
    <w:rsid w:val="00B25B15"/>
    <w:rsid w:val="00B25B69"/>
    <w:rsid w:val="00B25F98"/>
    <w:rsid w:val="00B260D1"/>
    <w:rsid w:val="00B26199"/>
    <w:rsid w:val="00B264E4"/>
    <w:rsid w:val="00B2669D"/>
    <w:rsid w:val="00B267BF"/>
    <w:rsid w:val="00B26A0E"/>
    <w:rsid w:val="00B26A2A"/>
    <w:rsid w:val="00B26A48"/>
    <w:rsid w:val="00B26FD2"/>
    <w:rsid w:val="00B27038"/>
    <w:rsid w:val="00B27155"/>
    <w:rsid w:val="00B27274"/>
    <w:rsid w:val="00B275C3"/>
    <w:rsid w:val="00B275FE"/>
    <w:rsid w:val="00B278F5"/>
    <w:rsid w:val="00B27C4F"/>
    <w:rsid w:val="00B27E9C"/>
    <w:rsid w:val="00B27F50"/>
    <w:rsid w:val="00B30139"/>
    <w:rsid w:val="00B30518"/>
    <w:rsid w:val="00B306D4"/>
    <w:rsid w:val="00B307D5"/>
    <w:rsid w:val="00B30AC6"/>
    <w:rsid w:val="00B31362"/>
    <w:rsid w:val="00B318D6"/>
    <w:rsid w:val="00B318F6"/>
    <w:rsid w:val="00B32090"/>
    <w:rsid w:val="00B32395"/>
    <w:rsid w:val="00B3262D"/>
    <w:rsid w:val="00B32983"/>
    <w:rsid w:val="00B32B62"/>
    <w:rsid w:val="00B32D99"/>
    <w:rsid w:val="00B3303B"/>
    <w:rsid w:val="00B333C2"/>
    <w:rsid w:val="00B334B0"/>
    <w:rsid w:val="00B33878"/>
    <w:rsid w:val="00B33961"/>
    <w:rsid w:val="00B3407D"/>
    <w:rsid w:val="00B34374"/>
    <w:rsid w:val="00B344B1"/>
    <w:rsid w:val="00B3475D"/>
    <w:rsid w:val="00B34C41"/>
    <w:rsid w:val="00B34C58"/>
    <w:rsid w:val="00B35022"/>
    <w:rsid w:val="00B35033"/>
    <w:rsid w:val="00B35950"/>
    <w:rsid w:val="00B35A6A"/>
    <w:rsid w:val="00B35ADF"/>
    <w:rsid w:val="00B35BCF"/>
    <w:rsid w:val="00B35EA7"/>
    <w:rsid w:val="00B3604F"/>
    <w:rsid w:val="00B36299"/>
    <w:rsid w:val="00B363E5"/>
    <w:rsid w:val="00B36468"/>
    <w:rsid w:val="00B36514"/>
    <w:rsid w:val="00B36530"/>
    <w:rsid w:val="00B36D07"/>
    <w:rsid w:val="00B3743B"/>
    <w:rsid w:val="00B37514"/>
    <w:rsid w:val="00B3784B"/>
    <w:rsid w:val="00B3797D"/>
    <w:rsid w:val="00B37BDE"/>
    <w:rsid w:val="00B37CBA"/>
    <w:rsid w:val="00B405DE"/>
    <w:rsid w:val="00B406C4"/>
    <w:rsid w:val="00B4073E"/>
    <w:rsid w:val="00B4088A"/>
    <w:rsid w:val="00B4098B"/>
    <w:rsid w:val="00B40CE3"/>
    <w:rsid w:val="00B40E0C"/>
    <w:rsid w:val="00B41271"/>
    <w:rsid w:val="00B41CCF"/>
    <w:rsid w:val="00B41D4B"/>
    <w:rsid w:val="00B41D89"/>
    <w:rsid w:val="00B41E40"/>
    <w:rsid w:val="00B41EA0"/>
    <w:rsid w:val="00B41FB9"/>
    <w:rsid w:val="00B421C0"/>
    <w:rsid w:val="00B4239C"/>
    <w:rsid w:val="00B423DC"/>
    <w:rsid w:val="00B42779"/>
    <w:rsid w:val="00B42F40"/>
    <w:rsid w:val="00B4300B"/>
    <w:rsid w:val="00B431FC"/>
    <w:rsid w:val="00B43394"/>
    <w:rsid w:val="00B43501"/>
    <w:rsid w:val="00B43537"/>
    <w:rsid w:val="00B43818"/>
    <w:rsid w:val="00B438BD"/>
    <w:rsid w:val="00B43B7A"/>
    <w:rsid w:val="00B43FBB"/>
    <w:rsid w:val="00B44960"/>
    <w:rsid w:val="00B44C7F"/>
    <w:rsid w:val="00B45216"/>
    <w:rsid w:val="00B455E6"/>
    <w:rsid w:val="00B45A3E"/>
    <w:rsid w:val="00B45AEA"/>
    <w:rsid w:val="00B45DFA"/>
    <w:rsid w:val="00B45E8E"/>
    <w:rsid w:val="00B46E2F"/>
    <w:rsid w:val="00B46E7B"/>
    <w:rsid w:val="00B46E9B"/>
    <w:rsid w:val="00B46FD7"/>
    <w:rsid w:val="00B4727F"/>
    <w:rsid w:val="00B472E2"/>
    <w:rsid w:val="00B47378"/>
    <w:rsid w:val="00B47778"/>
    <w:rsid w:val="00B47843"/>
    <w:rsid w:val="00B47930"/>
    <w:rsid w:val="00B47967"/>
    <w:rsid w:val="00B47CE9"/>
    <w:rsid w:val="00B47ED0"/>
    <w:rsid w:val="00B501D8"/>
    <w:rsid w:val="00B501F9"/>
    <w:rsid w:val="00B503C9"/>
    <w:rsid w:val="00B5068D"/>
    <w:rsid w:val="00B50A28"/>
    <w:rsid w:val="00B51267"/>
    <w:rsid w:val="00B51310"/>
    <w:rsid w:val="00B5143E"/>
    <w:rsid w:val="00B51641"/>
    <w:rsid w:val="00B517EA"/>
    <w:rsid w:val="00B51C45"/>
    <w:rsid w:val="00B51DBD"/>
    <w:rsid w:val="00B51FA9"/>
    <w:rsid w:val="00B521AC"/>
    <w:rsid w:val="00B523B8"/>
    <w:rsid w:val="00B5251C"/>
    <w:rsid w:val="00B52576"/>
    <w:rsid w:val="00B52BD4"/>
    <w:rsid w:val="00B53238"/>
    <w:rsid w:val="00B534CF"/>
    <w:rsid w:val="00B53509"/>
    <w:rsid w:val="00B53603"/>
    <w:rsid w:val="00B5365C"/>
    <w:rsid w:val="00B5389F"/>
    <w:rsid w:val="00B53A3E"/>
    <w:rsid w:val="00B53A98"/>
    <w:rsid w:val="00B53B2E"/>
    <w:rsid w:val="00B53DF6"/>
    <w:rsid w:val="00B53E33"/>
    <w:rsid w:val="00B54086"/>
    <w:rsid w:val="00B541BD"/>
    <w:rsid w:val="00B5433F"/>
    <w:rsid w:val="00B54385"/>
    <w:rsid w:val="00B546B8"/>
    <w:rsid w:val="00B547BC"/>
    <w:rsid w:val="00B54897"/>
    <w:rsid w:val="00B54A30"/>
    <w:rsid w:val="00B54EAC"/>
    <w:rsid w:val="00B54FAA"/>
    <w:rsid w:val="00B551DA"/>
    <w:rsid w:val="00B552C5"/>
    <w:rsid w:val="00B5530D"/>
    <w:rsid w:val="00B55436"/>
    <w:rsid w:val="00B55614"/>
    <w:rsid w:val="00B55ACC"/>
    <w:rsid w:val="00B55B60"/>
    <w:rsid w:val="00B55CFB"/>
    <w:rsid w:val="00B56635"/>
    <w:rsid w:val="00B56659"/>
    <w:rsid w:val="00B5678B"/>
    <w:rsid w:val="00B56A07"/>
    <w:rsid w:val="00B56D3D"/>
    <w:rsid w:val="00B56DE3"/>
    <w:rsid w:val="00B56E8B"/>
    <w:rsid w:val="00B56FFA"/>
    <w:rsid w:val="00B570C3"/>
    <w:rsid w:val="00B57164"/>
    <w:rsid w:val="00B57263"/>
    <w:rsid w:val="00B575BA"/>
    <w:rsid w:val="00B57678"/>
    <w:rsid w:val="00B57BB4"/>
    <w:rsid w:val="00B57C4F"/>
    <w:rsid w:val="00B57E86"/>
    <w:rsid w:val="00B57FE4"/>
    <w:rsid w:val="00B6023A"/>
    <w:rsid w:val="00B60439"/>
    <w:rsid w:val="00B604DF"/>
    <w:rsid w:val="00B606BC"/>
    <w:rsid w:val="00B60C84"/>
    <w:rsid w:val="00B6106A"/>
    <w:rsid w:val="00B610B1"/>
    <w:rsid w:val="00B61265"/>
    <w:rsid w:val="00B615E6"/>
    <w:rsid w:val="00B61917"/>
    <w:rsid w:val="00B619A1"/>
    <w:rsid w:val="00B61F9F"/>
    <w:rsid w:val="00B62088"/>
    <w:rsid w:val="00B622CF"/>
    <w:rsid w:val="00B6237F"/>
    <w:rsid w:val="00B62511"/>
    <w:rsid w:val="00B6257A"/>
    <w:rsid w:val="00B62953"/>
    <w:rsid w:val="00B62985"/>
    <w:rsid w:val="00B62D5F"/>
    <w:rsid w:val="00B62EAC"/>
    <w:rsid w:val="00B6315B"/>
    <w:rsid w:val="00B63198"/>
    <w:rsid w:val="00B63310"/>
    <w:rsid w:val="00B63593"/>
    <w:rsid w:val="00B636DD"/>
    <w:rsid w:val="00B63C3B"/>
    <w:rsid w:val="00B6412F"/>
    <w:rsid w:val="00B647FC"/>
    <w:rsid w:val="00B649F1"/>
    <w:rsid w:val="00B64A68"/>
    <w:rsid w:val="00B64B74"/>
    <w:rsid w:val="00B64D0F"/>
    <w:rsid w:val="00B64FEA"/>
    <w:rsid w:val="00B65057"/>
    <w:rsid w:val="00B65152"/>
    <w:rsid w:val="00B657BC"/>
    <w:rsid w:val="00B658E4"/>
    <w:rsid w:val="00B65D42"/>
    <w:rsid w:val="00B66A12"/>
    <w:rsid w:val="00B671A5"/>
    <w:rsid w:val="00B6733A"/>
    <w:rsid w:val="00B67626"/>
    <w:rsid w:val="00B6769D"/>
    <w:rsid w:val="00B677CB"/>
    <w:rsid w:val="00B677FA"/>
    <w:rsid w:val="00B67895"/>
    <w:rsid w:val="00B679B4"/>
    <w:rsid w:val="00B67C7F"/>
    <w:rsid w:val="00B70151"/>
    <w:rsid w:val="00B7031F"/>
    <w:rsid w:val="00B7035A"/>
    <w:rsid w:val="00B703FD"/>
    <w:rsid w:val="00B705AE"/>
    <w:rsid w:val="00B70734"/>
    <w:rsid w:val="00B70947"/>
    <w:rsid w:val="00B70A95"/>
    <w:rsid w:val="00B70ACB"/>
    <w:rsid w:val="00B71A73"/>
    <w:rsid w:val="00B71B15"/>
    <w:rsid w:val="00B71EFA"/>
    <w:rsid w:val="00B71F15"/>
    <w:rsid w:val="00B71FF2"/>
    <w:rsid w:val="00B72627"/>
    <w:rsid w:val="00B72774"/>
    <w:rsid w:val="00B7281A"/>
    <w:rsid w:val="00B72A54"/>
    <w:rsid w:val="00B72B06"/>
    <w:rsid w:val="00B73083"/>
    <w:rsid w:val="00B730AA"/>
    <w:rsid w:val="00B731C5"/>
    <w:rsid w:val="00B736B2"/>
    <w:rsid w:val="00B73770"/>
    <w:rsid w:val="00B73A25"/>
    <w:rsid w:val="00B73BE1"/>
    <w:rsid w:val="00B73CC5"/>
    <w:rsid w:val="00B744F0"/>
    <w:rsid w:val="00B74544"/>
    <w:rsid w:val="00B747E0"/>
    <w:rsid w:val="00B74B91"/>
    <w:rsid w:val="00B74F3B"/>
    <w:rsid w:val="00B75011"/>
    <w:rsid w:val="00B755F7"/>
    <w:rsid w:val="00B75660"/>
    <w:rsid w:val="00B75692"/>
    <w:rsid w:val="00B757A1"/>
    <w:rsid w:val="00B76007"/>
    <w:rsid w:val="00B76092"/>
    <w:rsid w:val="00B76180"/>
    <w:rsid w:val="00B761F7"/>
    <w:rsid w:val="00B76352"/>
    <w:rsid w:val="00B7683F"/>
    <w:rsid w:val="00B76FEB"/>
    <w:rsid w:val="00B77012"/>
    <w:rsid w:val="00B7714E"/>
    <w:rsid w:val="00B77249"/>
    <w:rsid w:val="00B7734E"/>
    <w:rsid w:val="00B773D1"/>
    <w:rsid w:val="00B7745D"/>
    <w:rsid w:val="00B77661"/>
    <w:rsid w:val="00B77C96"/>
    <w:rsid w:val="00B77F90"/>
    <w:rsid w:val="00B80310"/>
    <w:rsid w:val="00B8036B"/>
    <w:rsid w:val="00B8036D"/>
    <w:rsid w:val="00B80585"/>
    <w:rsid w:val="00B80A19"/>
    <w:rsid w:val="00B80DD7"/>
    <w:rsid w:val="00B814C7"/>
    <w:rsid w:val="00B817C6"/>
    <w:rsid w:val="00B81B37"/>
    <w:rsid w:val="00B81B61"/>
    <w:rsid w:val="00B81C0A"/>
    <w:rsid w:val="00B81CE9"/>
    <w:rsid w:val="00B81D85"/>
    <w:rsid w:val="00B81FF0"/>
    <w:rsid w:val="00B82729"/>
    <w:rsid w:val="00B8273F"/>
    <w:rsid w:val="00B82881"/>
    <w:rsid w:val="00B82CFF"/>
    <w:rsid w:val="00B82EB6"/>
    <w:rsid w:val="00B82F70"/>
    <w:rsid w:val="00B83123"/>
    <w:rsid w:val="00B8343F"/>
    <w:rsid w:val="00B835B1"/>
    <w:rsid w:val="00B83ABD"/>
    <w:rsid w:val="00B840E7"/>
    <w:rsid w:val="00B845C4"/>
    <w:rsid w:val="00B8464D"/>
    <w:rsid w:val="00B84D29"/>
    <w:rsid w:val="00B856EE"/>
    <w:rsid w:val="00B857E7"/>
    <w:rsid w:val="00B85D1E"/>
    <w:rsid w:val="00B85D82"/>
    <w:rsid w:val="00B85FBF"/>
    <w:rsid w:val="00B86398"/>
    <w:rsid w:val="00B8640D"/>
    <w:rsid w:val="00B86556"/>
    <w:rsid w:val="00B866A5"/>
    <w:rsid w:val="00B868AA"/>
    <w:rsid w:val="00B86C04"/>
    <w:rsid w:val="00B86CB1"/>
    <w:rsid w:val="00B86DBD"/>
    <w:rsid w:val="00B87479"/>
    <w:rsid w:val="00B874BD"/>
    <w:rsid w:val="00B874DC"/>
    <w:rsid w:val="00B879D1"/>
    <w:rsid w:val="00B87C95"/>
    <w:rsid w:val="00B9000B"/>
    <w:rsid w:val="00B901CF"/>
    <w:rsid w:val="00B9024F"/>
    <w:rsid w:val="00B90791"/>
    <w:rsid w:val="00B90859"/>
    <w:rsid w:val="00B91BD9"/>
    <w:rsid w:val="00B91CEB"/>
    <w:rsid w:val="00B91E9A"/>
    <w:rsid w:val="00B9230A"/>
    <w:rsid w:val="00B92554"/>
    <w:rsid w:val="00B92AC4"/>
    <w:rsid w:val="00B92B8A"/>
    <w:rsid w:val="00B92E39"/>
    <w:rsid w:val="00B92EB3"/>
    <w:rsid w:val="00B932DF"/>
    <w:rsid w:val="00B9367F"/>
    <w:rsid w:val="00B9372B"/>
    <w:rsid w:val="00B9379B"/>
    <w:rsid w:val="00B9379C"/>
    <w:rsid w:val="00B93844"/>
    <w:rsid w:val="00B93A9C"/>
    <w:rsid w:val="00B93C24"/>
    <w:rsid w:val="00B93C26"/>
    <w:rsid w:val="00B93C87"/>
    <w:rsid w:val="00B93E73"/>
    <w:rsid w:val="00B94063"/>
    <w:rsid w:val="00B94092"/>
    <w:rsid w:val="00B94A4A"/>
    <w:rsid w:val="00B94B3C"/>
    <w:rsid w:val="00B94D79"/>
    <w:rsid w:val="00B94E46"/>
    <w:rsid w:val="00B950D0"/>
    <w:rsid w:val="00B9514E"/>
    <w:rsid w:val="00B953E0"/>
    <w:rsid w:val="00B958C9"/>
    <w:rsid w:val="00B958D1"/>
    <w:rsid w:val="00B95A4A"/>
    <w:rsid w:val="00B95C63"/>
    <w:rsid w:val="00B961AC"/>
    <w:rsid w:val="00B965BA"/>
    <w:rsid w:val="00B968DE"/>
    <w:rsid w:val="00B969B0"/>
    <w:rsid w:val="00B96EC7"/>
    <w:rsid w:val="00B96F3D"/>
    <w:rsid w:val="00B973B5"/>
    <w:rsid w:val="00B973BB"/>
    <w:rsid w:val="00B97429"/>
    <w:rsid w:val="00B97FCA"/>
    <w:rsid w:val="00BA0B6A"/>
    <w:rsid w:val="00BA0D2B"/>
    <w:rsid w:val="00BA0F9A"/>
    <w:rsid w:val="00BA13CC"/>
    <w:rsid w:val="00BA18B1"/>
    <w:rsid w:val="00BA1E26"/>
    <w:rsid w:val="00BA1ECD"/>
    <w:rsid w:val="00BA234B"/>
    <w:rsid w:val="00BA24C2"/>
    <w:rsid w:val="00BA2757"/>
    <w:rsid w:val="00BA2B2F"/>
    <w:rsid w:val="00BA2C5E"/>
    <w:rsid w:val="00BA2FC4"/>
    <w:rsid w:val="00BA2FE7"/>
    <w:rsid w:val="00BA305A"/>
    <w:rsid w:val="00BA3258"/>
    <w:rsid w:val="00BA34C7"/>
    <w:rsid w:val="00BA3ABF"/>
    <w:rsid w:val="00BA3DD0"/>
    <w:rsid w:val="00BA3F77"/>
    <w:rsid w:val="00BA4211"/>
    <w:rsid w:val="00BA487F"/>
    <w:rsid w:val="00BA4929"/>
    <w:rsid w:val="00BA4AA0"/>
    <w:rsid w:val="00BA4BCE"/>
    <w:rsid w:val="00BA4F11"/>
    <w:rsid w:val="00BA4FED"/>
    <w:rsid w:val="00BA505B"/>
    <w:rsid w:val="00BA5386"/>
    <w:rsid w:val="00BA55AA"/>
    <w:rsid w:val="00BA55DB"/>
    <w:rsid w:val="00BA59CD"/>
    <w:rsid w:val="00BA59D2"/>
    <w:rsid w:val="00BA5A95"/>
    <w:rsid w:val="00BA5B0A"/>
    <w:rsid w:val="00BA5B2A"/>
    <w:rsid w:val="00BA5C07"/>
    <w:rsid w:val="00BA5CD6"/>
    <w:rsid w:val="00BA6368"/>
    <w:rsid w:val="00BA6372"/>
    <w:rsid w:val="00BA6678"/>
    <w:rsid w:val="00BA66A4"/>
    <w:rsid w:val="00BA709B"/>
    <w:rsid w:val="00BA7221"/>
    <w:rsid w:val="00BA728B"/>
    <w:rsid w:val="00BA746E"/>
    <w:rsid w:val="00BA7548"/>
    <w:rsid w:val="00BA762F"/>
    <w:rsid w:val="00BA7B81"/>
    <w:rsid w:val="00BA7C58"/>
    <w:rsid w:val="00BA7F0E"/>
    <w:rsid w:val="00BB02F7"/>
    <w:rsid w:val="00BB069B"/>
    <w:rsid w:val="00BB06DC"/>
    <w:rsid w:val="00BB0860"/>
    <w:rsid w:val="00BB0917"/>
    <w:rsid w:val="00BB09E9"/>
    <w:rsid w:val="00BB0A29"/>
    <w:rsid w:val="00BB0B49"/>
    <w:rsid w:val="00BB0BC2"/>
    <w:rsid w:val="00BB1302"/>
    <w:rsid w:val="00BB1631"/>
    <w:rsid w:val="00BB164E"/>
    <w:rsid w:val="00BB1A77"/>
    <w:rsid w:val="00BB1D7F"/>
    <w:rsid w:val="00BB1EF6"/>
    <w:rsid w:val="00BB1F18"/>
    <w:rsid w:val="00BB1F88"/>
    <w:rsid w:val="00BB20DE"/>
    <w:rsid w:val="00BB2586"/>
    <w:rsid w:val="00BB2BAE"/>
    <w:rsid w:val="00BB2BE5"/>
    <w:rsid w:val="00BB3044"/>
    <w:rsid w:val="00BB3109"/>
    <w:rsid w:val="00BB3357"/>
    <w:rsid w:val="00BB3509"/>
    <w:rsid w:val="00BB3B44"/>
    <w:rsid w:val="00BB4055"/>
    <w:rsid w:val="00BB4098"/>
    <w:rsid w:val="00BB4113"/>
    <w:rsid w:val="00BB47C1"/>
    <w:rsid w:val="00BB4BEC"/>
    <w:rsid w:val="00BB4F3D"/>
    <w:rsid w:val="00BB53D2"/>
    <w:rsid w:val="00BB546A"/>
    <w:rsid w:val="00BB59E0"/>
    <w:rsid w:val="00BB5B7E"/>
    <w:rsid w:val="00BB5BF7"/>
    <w:rsid w:val="00BB5C93"/>
    <w:rsid w:val="00BB6733"/>
    <w:rsid w:val="00BB6734"/>
    <w:rsid w:val="00BB6B68"/>
    <w:rsid w:val="00BB6E60"/>
    <w:rsid w:val="00BB6F43"/>
    <w:rsid w:val="00BB7306"/>
    <w:rsid w:val="00BB75C5"/>
    <w:rsid w:val="00BB7689"/>
    <w:rsid w:val="00BB78E7"/>
    <w:rsid w:val="00BB7CFC"/>
    <w:rsid w:val="00BB7D02"/>
    <w:rsid w:val="00BC062B"/>
    <w:rsid w:val="00BC06B9"/>
    <w:rsid w:val="00BC07EA"/>
    <w:rsid w:val="00BC0CEF"/>
    <w:rsid w:val="00BC1329"/>
    <w:rsid w:val="00BC146E"/>
    <w:rsid w:val="00BC15EE"/>
    <w:rsid w:val="00BC166F"/>
    <w:rsid w:val="00BC1806"/>
    <w:rsid w:val="00BC1AE1"/>
    <w:rsid w:val="00BC1C62"/>
    <w:rsid w:val="00BC1CE7"/>
    <w:rsid w:val="00BC1D40"/>
    <w:rsid w:val="00BC1E11"/>
    <w:rsid w:val="00BC2146"/>
    <w:rsid w:val="00BC2148"/>
    <w:rsid w:val="00BC2221"/>
    <w:rsid w:val="00BC2377"/>
    <w:rsid w:val="00BC2413"/>
    <w:rsid w:val="00BC243A"/>
    <w:rsid w:val="00BC267A"/>
    <w:rsid w:val="00BC283B"/>
    <w:rsid w:val="00BC2B77"/>
    <w:rsid w:val="00BC2F43"/>
    <w:rsid w:val="00BC320E"/>
    <w:rsid w:val="00BC3C0E"/>
    <w:rsid w:val="00BC3D05"/>
    <w:rsid w:val="00BC3D0C"/>
    <w:rsid w:val="00BC3D4E"/>
    <w:rsid w:val="00BC4288"/>
    <w:rsid w:val="00BC441F"/>
    <w:rsid w:val="00BC46D9"/>
    <w:rsid w:val="00BC4780"/>
    <w:rsid w:val="00BC4A79"/>
    <w:rsid w:val="00BC4C29"/>
    <w:rsid w:val="00BC4E24"/>
    <w:rsid w:val="00BC514A"/>
    <w:rsid w:val="00BC527F"/>
    <w:rsid w:val="00BC5437"/>
    <w:rsid w:val="00BC5BB9"/>
    <w:rsid w:val="00BC5D24"/>
    <w:rsid w:val="00BC5FFA"/>
    <w:rsid w:val="00BC6536"/>
    <w:rsid w:val="00BC69B5"/>
    <w:rsid w:val="00BC6ABD"/>
    <w:rsid w:val="00BC6C71"/>
    <w:rsid w:val="00BC6F0D"/>
    <w:rsid w:val="00BC7222"/>
    <w:rsid w:val="00BC73CF"/>
    <w:rsid w:val="00BC73D6"/>
    <w:rsid w:val="00BC7418"/>
    <w:rsid w:val="00BC7497"/>
    <w:rsid w:val="00BC7C05"/>
    <w:rsid w:val="00BC7E5D"/>
    <w:rsid w:val="00BD0153"/>
    <w:rsid w:val="00BD02DF"/>
    <w:rsid w:val="00BD0348"/>
    <w:rsid w:val="00BD040A"/>
    <w:rsid w:val="00BD0516"/>
    <w:rsid w:val="00BD12C0"/>
    <w:rsid w:val="00BD1300"/>
    <w:rsid w:val="00BD15FD"/>
    <w:rsid w:val="00BD17A2"/>
    <w:rsid w:val="00BD1B35"/>
    <w:rsid w:val="00BD1CAF"/>
    <w:rsid w:val="00BD1F1F"/>
    <w:rsid w:val="00BD1F7C"/>
    <w:rsid w:val="00BD1FFE"/>
    <w:rsid w:val="00BD200E"/>
    <w:rsid w:val="00BD2410"/>
    <w:rsid w:val="00BD2447"/>
    <w:rsid w:val="00BD2851"/>
    <w:rsid w:val="00BD29D3"/>
    <w:rsid w:val="00BD2A0E"/>
    <w:rsid w:val="00BD2CC8"/>
    <w:rsid w:val="00BD2D47"/>
    <w:rsid w:val="00BD30BB"/>
    <w:rsid w:val="00BD30BC"/>
    <w:rsid w:val="00BD319B"/>
    <w:rsid w:val="00BD340D"/>
    <w:rsid w:val="00BD34FB"/>
    <w:rsid w:val="00BD3549"/>
    <w:rsid w:val="00BD35E7"/>
    <w:rsid w:val="00BD363D"/>
    <w:rsid w:val="00BD44A5"/>
    <w:rsid w:val="00BD4569"/>
    <w:rsid w:val="00BD4BF1"/>
    <w:rsid w:val="00BD4CA7"/>
    <w:rsid w:val="00BD4E8D"/>
    <w:rsid w:val="00BD51ED"/>
    <w:rsid w:val="00BD56BB"/>
    <w:rsid w:val="00BD5913"/>
    <w:rsid w:val="00BD5B51"/>
    <w:rsid w:val="00BD636B"/>
    <w:rsid w:val="00BD6554"/>
    <w:rsid w:val="00BD663C"/>
    <w:rsid w:val="00BD6659"/>
    <w:rsid w:val="00BD66FB"/>
    <w:rsid w:val="00BD6B1E"/>
    <w:rsid w:val="00BD6C4D"/>
    <w:rsid w:val="00BD6F79"/>
    <w:rsid w:val="00BD70DC"/>
    <w:rsid w:val="00BD7108"/>
    <w:rsid w:val="00BD7128"/>
    <w:rsid w:val="00BD712F"/>
    <w:rsid w:val="00BD7333"/>
    <w:rsid w:val="00BD784F"/>
    <w:rsid w:val="00BD791B"/>
    <w:rsid w:val="00BD7BE8"/>
    <w:rsid w:val="00BD7CF6"/>
    <w:rsid w:val="00BD7D17"/>
    <w:rsid w:val="00BE0387"/>
    <w:rsid w:val="00BE039E"/>
    <w:rsid w:val="00BE04F1"/>
    <w:rsid w:val="00BE056C"/>
    <w:rsid w:val="00BE0D73"/>
    <w:rsid w:val="00BE0F17"/>
    <w:rsid w:val="00BE1138"/>
    <w:rsid w:val="00BE1530"/>
    <w:rsid w:val="00BE1889"/>
    <w:rsid w:val="00BE1AB1"/>
    <w:rsid w:val="00BE1CA1"/>
    <w:rsid w:val="00BE2235"/>
    <w:rsid w:val="00BE24AA"/>
    <w:rsid w:val="00BE26ED"/>
    <w:rsid w:val="00BE2747"/>
    <w:rsid w:val="00BE2D37"/>
    <w:rsid w:val="00BE2D53"/>
    <w:rsid w:val="00BE2D78"/>
    <w:rsid w:val="00BE319B"/>
    <w:rsid w:val="00BE3477"/>
    <w:rsid w:val="00BE35B3"/>
    <w:rsid w:val="00BE3799"/>
    <w:rsid w:val="00BE3995"/>
    <w:rsid w:val="00BE39FE"/>
    <w:rsid w:val="00BE3E81"/>
    <w:rsid w:val="00BE3ECC"/>
    <w:rsid w:val="00BE3F00"/>
    <w:rsid w:val="00BE4477"/>
    <w:rsid w:val="00BE4C83"/>
    <w:rsid w:val="00BE4F8E"/>
    <w:rsid w:val="00BE5367"/>
    <w:rsid w:val="00BE548D"/>
    <w:rsid w:val="00BE57ED"/>
    <w:rsid w:val="00BE5AEA"/>
    <w:rsid w:val="00BE5D29"/>
    <w:rsid w:val="00BE6094"/>
    <w:rsid w:val="00BE645A"/>
    <w:rsid w:val="00BE67A2"/>
    <w:rsid w:val="00BE6835"/>
    <w:rsid w:val="00BE69D5"/>
    <w:rsid w:val="00BE6A91"/>
    <w:rsid w:val="00BE6B1E"/>
    <w:rsid w:val="00BE6DAE"/>
    <w:rsid w:val="00BE6E23"/>
    <w:rsid w:val="00BE78F1"/>
    <w:rsid w:val="00BE794C"/>
    <w:rsid w:val="00BE79B5"/>
    <w:rsid w:val="00BF02EA"/>
    <w:rsid w:val="00BF0923"/>
    <w:rsid w:val="00BF0C78"/>
    <w:rsid w:val="00BF13B7"/>
    <w:rsid w:val="00BF157F"/>
    <w:rsid w:val="00BF17E0"/>
    <w:rsid w:val="00BF1B66"/>
    <w:rsid w:val="00BF1D61"/>
    <w:rsid w:val="00BF1D65"/>
    <w:rsid w:val="00BF218C"/>
    <w:rsid w:val="00BF2541"/>
    <w:rsid w:val="00BF26CE"/>
    <w:rsid w:val="00BF27D7"/>
    <w:rsid w:val="00BF29F5"/>
    <w:rsid w:val="00BF2EF0"/>
    <w:rsid w:val="00BF2FE8"/>
    <w:rsid w:val="00BF33FE"/>
    <w:rsid w:val="00BF34DB"/>
    <w:rsid w:val="00BF3684"/>
    <w:rsid w:val="00BF38A5"/>
    <w:rsid w:val="00BF3F21"/>
    <w:rsid w:val="00BF43AF"/>
    <w:rsid w:val="00BF45D4"/>
    <w:rsid w:val="00BF48B5"/>
    <w:rsid w:val="00BF4B3E"/>
    <w:rsid w:val="00BF4D14"/>
    <w:rsid w:val="00BF5445"/>
    <w:rsid w:val="00BF54ED"/>
    <w:rsid w:val="00BF5577"/>
    <w:rsid w:val="00BF6069"/>
    <w:rsid w:val="00BF6223"/>
    <w:rsid w:val="00BF6228"/>
    <w:rsid w:val="00BF659A"/>
    <w:rsid w:val="00BF66F7"/>
    <w:rsid w:val="00BF6E56"/>
    <w:rsid w:val="00BF717D"/>
    <w:rsid w:val="00BF75DD"/>
    <w:rsid w:val="00BF7650"/>
    <w:rsid w:val="00BF768C"/>
    <w:rsid w:val="00BF78C7"/>
    <w:rsid w:val="00BF7A6A"/>
    <w:rsid w:val="00BF7B68"/>
    <w:rsid w:val="00C0001E"/>
    <w:rsid w:val="00C001FA"/>
    <w:rsid w:val="00C00678"/>
    <w:rsid w:val="00C00E1D"/>
    <w:rsid w:val="00C00EDF"/>
    <w:rsid w:val="00C01784"/>
    <w:rsid w:val="00C01DE1"/>
    <w:rsid w:val="00C02086"/>
    <w:rsid w:val="00C0265E"/>
    <w:rsid w:val="00C027C4"/>
    <w:rsid w:val="00C02B85"/>
    <w:rsid w:val="00C02CA4"/>
    <w:rsid w:val="00C0302A"/>
    <w:rsid w:val="00C03476"/>
    <w:rsid w:val="00C035C1"/>
    <w:rsid w:val="00C036F0"/>
    <w:rsid w:val="00C03781"/>
    <w:rsid w:val="00C037B2"/>
    <w:rsid w:val="00C038ED"/>
    <w:rsid w:val="00C03C95"/>
    <w:rsid w:val="00C0408B"/>
    <w:rsid w:val="00C04343"/>
    <w:rsid w:val="00C04547"/>
    <w:rsid w:val="00C0491C"/>
    <w:rsid w:val="00C04980"/>
    <w:rsid w:val="00C04AD2"/>
    <w:rsid w:val="00C04D75"/>
    <w:rsid w:val="00C05055"/>
    <w:rsid w:val="00C05166"/>
    <w:rsid w:val="00C05168"/>
    <w:rsid w:val="00C05567"/>
    <w:rsid w:val="00C06136"/>
    <w:rsid w:val="00C063B1"/>
    <w:rsid w:val="00C064C9"/>
    <w:rsid w:val="00C06AB9"/>
    <w:rsid w:val="00C06FD0"/>
    <w:rsid w:val="00C07607"/>
    <w:rsid w:val="00C07A89"/>
    <w:rsid w:val="00C07EE0"/>
    <w:rsid w:val="00C07FB5"/>
    <w:rsid w:val="00C10108"/>
    <w:rsid w:val="00C1013C"/>
    <w:rsid w:val="00C101E4"/>
    <w:rsid w:val="00C103C0"/>
    <w:rsid w:val="00C107AB"/>
    <w:rsid w:val="00C10A23"/>
    <w:rsid w:val="00C10B9A"/>
    <w:rsid w:val="00C10BC6"/>
    <w:rsid w:val="00C10C07"/>
    <w:rsid w:val="00C10CAB"/>
    <w:rsid w:val="00C10D5E"/>
    <w:rsid w:val="00C110C6"/>
    <w:rsid w:val="00C112F5"/>
    <w:rsid w:val="00C11805"/>
    <w:rsid w:val="00C11A6D"/>
    <w:rsid w:val="00C11B41"/>
    <w:rsid w:val="00C11E2C"/>
    <w:rsid w:val="00C11FF0"/>
    <w:rsid w:val="00C120E1"/>
    <w:rsid w:val="00C12348"/>
    <w:rsid w:val="00C1246D"/>
    <w:rsid w:val="00C12889"/>
    <w:rsid w:val="00C128AB"/>
    <w:rsid w:val="00C1295D"/>
    <w:rsid w:val="00C129AF"/>
    <w:rsid w:val="00C12A11"/>
    <w:rsid w:val="00C12A6E"/>
    <w:rsid w:val="00C12E0D"/>
    <w:rsid w:val="00C13223"/>
    <w:rsid w:val="00C13243"/>
    <w:rsid w:val="00C1326C"/>
    <w:rsid w:val="00C13651"/>
    <w:rsid w:val="00C13E15"/>
    <w:rsid w:val="00C13F80"/>
    <w:rsid w:val="00C13F85"/>
    <w:rsid w:val="00C1404E"/>
    <w:rsid w:val="00C145DE"/>
    <w:rsid w:val="00C14603"/>
    <w:rsid w:val="00C148B5"/>
    <w:rsid w:val="00C149DE"/>
    <w:rsid w:val="00C14ABD"/>
    <w:rsid w:val="00C14B38"/>
    <w:rsid w:val="00C14CBC"/>
    <w:rsid w:val="00C14F86"/>
    <w:rsid w:val="00C151E3"/>
    <w:rsid w:val="00C15474"/>
    <w:rsid w:val="00C155B5"/>
    <w:rsid w:val="00C158AD"/>
    <w:rsid w:val="00C15DA0"/>
    <w:rsid w:val="00C16263"/>
    <w:rsid w:val="00C163D7"/>
    <w:rsid w:val="00C1653D"/>
    <w:rsid w:val="00C165B6"/>
    <w:rsid w:val="00C1682F"/>
    <w:rsid w:val="00C16CEF"/>
    <w:rsid w:val="00C17743"/>
    <w:rsid w:val="00C17D12"/>
    <w:rsid w:val="00C17D96"/>
    <w:rsid w:val="00C2058B"/>
    <w:rsid w:val="00C206F9"/>
    <w:rsid w:val="00C20773"/>
    <w:rsid w:val="00C207D2"/>
    <w:rsid w:val="00C20C4F"/>
    <w:rsid w:val="00C20CC3"/>
    <w:rsid w:val="00C20E83"/>
    <w:rsid w:val="00C210DF"/>
    <w:rsid w:val="00C210EE"/>
    <w:rsid w:val="00C211DF"/>
    <w:rsid w:val="00C21232"/>
    <w:rsid w:val="00C21235"/>
    <w:rsid w:val="00C213BC"/>
    <w:rsid w:val="00C2167D"/>
    <w:rsid w:val="00C21870"/>
    <w:rsid w:val="00C21BA7"/>
    <w:rsid w:val="00C21DF4"/>
    <w:rsid w:val="00C22021"/>
    <w:rsid w:val="00C22155"/>
    <w:rsid w:val="00C22493"/>
    <w:rsid w:val="00C22841"/>
    <w:rsid w:val="00C22944"/>
    <w:rsid w:val="00C22EC0"/>
    <w:rsid w:val="00C22FBE"/>
    <w:rsid w:val="00C23282"/>
    <w:rsid w:val="00C2380F"/>
    <w:rsid w:val="00C23AEB"/>
    <w:rsid w:val="00C23E18"/>
    <w:rsid w:val="00C242EA"/>
    <w:rsid w:val="00C24551"/>
    <w:rsid w:val="00C24589"/>
    <w:rsid w:val="00C246A5"/>
    <w:rsid w:val="00C24882"/>
    <w:rsid w:val="00C249AC"/>
    <w:rsid w:val="00C24C23"/>
    <w:rsid w:val="00C24D3F"/>
    <w:rsid w:val="00C24F92"/>
    <w:rsid w:val="00C24FB8"/>
    <w:rsid w:val="00C253E9"/>
    <w:rsid w:val="00C2575D"/>
    <w:rsid w:val="00C257CC"/>
    <w:rsid w:val="00C258A2"/>
    <w:rsid w:val="00C25973"/>
    <w:rsid w:val="00C25AEA"/>
    <w:rsid w:val="00C25CBD"/>
    <w:rsid w:val="00C25E34"/>
    <w:rsid w:val="00C25E51"/>
    <w:rsid w:val="00C25F27"/>
    <w:rsid w:val="00C25F6F"/>
    <w:rsid w:val="00C26168"/>
    <w:rsid w:val="00C263A2"/>
    <w:rsid w:val="00C263C1"/>
    <w:rsid w:val="00C264DB"/>
    <w:rsid w:val="00C26589"/>
    <w:rsid w:val="00C2697F"/>
    <w:rsid w:val="00C26A57"/>
    <w:rsid w:val="00C26B62"/>
    <w:rsid w:val="00C26CB8"/>
    <w:rsid w:val="00C26E7C"/>
    <w:rsid w:val="00C278AA"/>
    <w:rsid w:val="00C27990"/>
    <w:rsid w:val="00C27C68"/>
    <w:rsid w:val="00C27F96"/>
    <w:rsid w:val="00C302D6"/>
    <w:rsid w:val="00C30460"/>
    <w:rsid w:val="00C307EA"/>
    <w:rsid w:val="00C30C44"/>
    <w:rsid w:val="00C30CCF"/>
    <w:rsid w:val="00C3108A"/>
    <w:rsid w:val="00C31190"/>
    <w:rsid w:val="00C313DF"/>
    <w:rsid w:val="00C315F9"/>
    <w:rsid w:val="00C31AAE"/>
    <w:rsid w:val="00C31B30"/>
    <w:rsid w:val="00C31B8E"/>
    <w:rsid w:val="00C31CC5"/>
    <w:rsid w:val="00C32064"/>
    <w:rsid w:val="00C3286F"/>
    <w:rsid w:val="00C32A29"/>
    <w:rsid w:val="00C32DAF"/>
    <w:rsid w:val="00C32DB9"/>
    <w:rsid w:val="00C32E05"/>
    <w:rsid w:val="00C32ED3"/>
    <w:rsid w:val="00C333D7"/>
    <w:rsid w:val="00C33566"/>
    <w:rsid w:val="00C3373B"/>
    <w:rsid w:val="00C33B57"/>
    <w:rsid w:val="00C33C44"/>
    <w:rsid w:val="00C342A6"/>
    <w:rsid w:val="00C34A0D"/>
    <w:rsid w:val="00C34BFE"/>
    <w:rsid w:val="00C34E6E"/>
    <w:rsid w:val="00C350AC"/>
    <w:rsid w:val="00C35295"/>
    <w:rsid w:val="00C3551A"/>
    <w:rsid w:val="00C3555A"/>
    <w:rsid w:val="00C35776"/>
    <w:rsid w:val="00C3589A"/>
    <w:rsid w:val="00C359F2"/>
    <w:rsid w:val="00C359FE"/>
    <w:rsid w:val="00C35DC7"/>
    <w:rsid w:val="00C35F3A"/>
    <w:rsid w:val="00C361BF"/>
    <w:rsid w:val="00C36222"/>
    <w:rsid w:val="00C363E2"/>
    <w:rsid w:val="00C36A43"/>
    <w:rsid w:val="00C36E02"/>
    <w:rsid w:val="00C372F9"/>
    <w:rsid w:val="00C374F7"/>
    <w:rsid w:val="00C378E2"/>
    <w:rsid w:val="00C37AC0"/>
    <w:rsid w:val="00C37B7D"/>
    <w:rsid w:val="00C37C66"/>
    <w:rsid w:val="00C37DA3"/>
    <w:rsid w:val="00C37F01"/>
    <w:rsid w:val="00C37F4F"/>
    <w:rsid w:val="00C4011B"/>
    <w:rsid w:val="00C402FE"/>
    <w:rsid w:val="00C40425"/>
    <w:rsid w:val="00C40708"/>
    <w:rsid w:val="00C40EF7"/>
    <w:rsid w:val="00C411D2"/>
    <w:rsid w:val="00C412C7"/>
    <w:rsid w:val="00C4149F"/>
    <w:rsid w:val="00C4177E"/>
    <w:rsid w:val="00C41B0F"/>
    <w:rsid w:val="00C41C8B"/>
    <w:rsid w:val="00C41EE8"/>
    <w:rsid w:val="00C42270"/>
    <w:rsid w:val="00C422C7"/>
    <w:rsid w:val="00C423F5"/>
    <w:rsid w:val="00C4253C"/>
    <w:rsid w:val="00C425F9"/>
    <w:rsid w:val="00C427CB"/>
    <w:rsid w:val="00C42898"/>
    <w:rsid w:val="00C42AB6"/>
    <w:rsid w:val="00C42C02"/>
    <w:rsid w:val="00C42D6A"/>
    <w:rsid w:val="00C42F92"/>
    <w:rsid w:val="00C42FA9"/>
    <w:rsid w:val="00C43256"/>
    <w:rsid w:val="00C43394"/>
    <w:rsid w:val="00C43492"/>
    <w:rsid w:val="00C4367B"/>
    <w:rsid w:val="00C43A5D"/>
    <w:rsid w:val="00C43D22"/>
    <w:rsid w:val="00C44398"/>
    <w:rsid w:val="00C443D8"/>
    <w:rsid w:val="00C44A03"/>
    <w:rsid w:val="00C44DFD"/>
    <w:rsid w:val="00C44ECC"/>
    <w:rsid w:val="00C44FDD"/>
    <w:rsid w:val="00C4507F"/>
    <w:rsid w:val="00C457C1"/>
    <w:rsid w:val="00C45910"/>
    <w:rsid w:val="00C45F38"/>
    <w:rsid w:val="00C45F3D"/>
    <w:rsid w:val="00C4658A"/>
    <w:rsid w:val="00C466EE"/>
    <w:rsid w:val="00C46B2A"/>
    <w:rsid w:val="00C46C76"/>
    <w:rsid w:val="00C46CEE"/>
    <w:rsid w:val="00C46E3C"/>
    <w:rsid w:val="00C46F55"/>
    <w:rsid w:val="00C474D1"/>
    <w:rsid w:val="00C477A2"/>
    <w:rsid w:val="00C503A1"/>
    <w:rsid w:val="00C505B6"/>
    <w:rsid w:val="00C50799"/>
    <w:rsid w:val="00C509C3"/>
    <w:rsid w:val="00C509F0"/>
    <w:rsid w:val="00C50AFC"/>
    <w:rsid w:val="00C50BCB"/>
    <w:rsid w:val="00C50F77"/>
    <w:rsid w:val="00C514B6"/>
    <w:rsid w:val="00C515CA"/>
    <w:rsid w:val="00C51A1E"/>
    <w:rsid w:val="00C51CA3"/>
    <w:rsid w:val="00C51D89"/>
    <w:rsid w:val="00C51FA8"/>
    <w:rsid w:val="00C52663"/>
    <w:rsid w:val="00C52768"/>
    <w:rsid w:val="00C52988"/>
    <w:rsid w:val="00C52B34"/>
    <w:rsid w:val="00C5308B"/>
    <w:rsid w:val="00C53282"/>
    <w:rsid w:val="00C53484"/>
    <w:rsid w:val="00C538E5"/>
    <w:rsid w:val="00C53901"/>
    <w:rsid w:val="00C53AB3"/>
    <w:rsid w:val="00C53AFD"/>
    <w:rsid w:val="00C53CBC"/>
    <w:rsid w:val="00C53D94"/>
    <w:rsid w:val="00C54402"/>
    <w:rsid w:val="00C54493"/>
    <w:rsid w:val="00C544D5"/>
    <w:rsid w:val="00C549D3"/>
    <w:rsid w:val="00C54AD8"/>
    <w:rsid w:val="00C54F68"/>
    <w:rsid w:val="00C5502B"/>
    <w:rsid w:val="00C551B2"/>
    <w:rsid w:val="00C552EB"/>
    <w:rsid w:val="00C55371"/>
    <w:rsid w:val="00C55709"/>
    <w:rsid w:val="00C5579E"/>
    <w:rsid w:val="00C55940"/>
    <w:rsid w:val="00C55A85"/>
    <w:rsid w:val="00C55CAD"/>
    <w:rsid w:val="00C55F66"/>
    <w:rsid w:val="00C55FCC"/>
    <w:rsid w:val="00C55FDA"/>
    <w:rsid w:val="00C560CD"/>
    <w:rsid w:val="00C5637E"/>
    <w:rsid w:val="00C56386"/>
    <w:rsid w:val="00C564D5"/>
    <w:rsid w:val="00C564E8"/>
    <w:rsid w:val="00C5683F"/>
    <w:rsid w:val="00C56855"/>
    <w:rsid w:val="00C56C2A"/>
    <w:rsid w:val="00C57612"/>
    <w:rsid w:val="00C60268"/>
    <w:rsid w:val="00C60A67"/>
    <w:rsid w:val="00C60CE6"/>
    <w:rsid w:val="00C61877"/>
    <w:rsid w:val="00C61BA3"/>
    <w:rsid w:val="00C61EDD"/>
    <w:rsid w:val="00C6218F"/>
    <w:rsid w:val="00C62497"/>
    <w:rsid w:val="00C626D8"/>
    <w:rsid w:val="00C62790"/>
    <w:rsid w:val="00C627DE"/>
    <w:rsid w:val="00C62B81"/>
    <w:rsid w:val="00C62D10"/>
    <w:rsid w:val="00C62EE9"/>
    <w:rsid w:val="00C62EF6"/>
    <w:rsid w:val="00C6318C"/>
    <w:rsid w:val="00C63B85"/>
    <w:rsid w:val="00C63DAB"/>
    <w:rsid w:val="00C64241"/>
    <w:rsid w:val="00C64426"/>
    <w:rsid w:val="00C64835"/>
    <w:rsid w:val="00C64872"/>
    <w:rsid w:val="00C64A0E"/>
    <w:rsid w:val="00C64C13"/>
    <w:rsid w:val="00C64D87"/>
    <w:rsid w:val="00C6500E"/>
    <w:rsid w:val="00C65029"/>
    <w:rsid w:val="00C6507E"/>
    <w:rsid w:val="00C65184"/>
    <w:rsid w:val="00C6568C"/>
    <w:rsid w:val="00C658DC"/>
    <w:rsid w:val="00C65B99"/>
    <w:rsid w:val="00C65F6D"/>
    <w:rsid w:val="00C6605E"/>
    <w:rsid w:val="00C664A2"/>
    <w:rsid w:val="00C66810"/>
    <w:rsid w:val="00C66A0A"/>
    <w:rsid w:val="00C66D64"/>
    <w:rsid w:val="00C670BE"/>
    <w:rsid w:val="00C67300"/>
    <w:rsid w:val="00C67351"/>
    <w:rsid w:val="00C673FD"/>
    <w:rsid w:val="00C67653"/>
    <w:rsid w:val="00C67A9C"/>
    <w:rsid w:val="00C70558"/>
    <w:rsid w:val="00C70587"/>
    <w:rsid w:val="00C70A00"/>
    <w:rsid w:val="00C70EE0"/>
    <w:rsid w:val="00C70F1C"/>
    <w:rsid w:val="00C70F82"/>
    <w:rsid w:val="00C70FE1"/>
    <w:rsid w:val="00C71116"/>
    <w:rsid w:val="00C711E6"/>
    <w:rsid w:val="00C718CB"/>
    <w:rsid w:val="00C71DBD"/>
    <w:rsid w:val="00C723E6"/>
    <w:rsid w:val="00C72401"/>
    <w:rsid w:val="00C725FF"/>
    <w:rsid w:val="00C72973"/>
    <w:rsid w:val="00C72BF8"/>
    <w:rsid w:val="00C73357"/>
    <w:rsid w:val="00C73413"/>
    <w:rsid w:val="00C7398F"/>
    <w:rsid w:val="00C7406C"/>
    <w:rsid w:val="00C740A2"/>
    <w:rsid w:val="00C7430D"/>
    <w:rsid w:val="00C744CF"/>
    <w:rsid w:val="00C744F3"/>
    <w:rsid w:val="00C74590"/>
    <w:rsid w:val="00C74603"/>
    <w:rsid w:val="00C74B66"/>
    <w:rsid w:val="00C74C5F"/>
    <w:rsid w:val="00C74D2C"/>
    <w:rsid w:val="00C750EE"/>
    <w:rsid w:val="00C75495"/>
    <w:rsid w:val="00C75515"/>
    <w:rsid w:val="00C75574"/>
    <w:rsid w:val="00C755A5"/>
    <w:rsid w:val="00C755FC"/>
    <w:rsid w:val="00C756A2"/>
    <w:rsid w:val="00C75807"/>
    <w:rsid w:val="00C75B68"/>
    <w:rsid w:val="00C75BE4"/>
    <w:rsid w:val="00C75C74"/>
    <w:rsid w:val="00C761D6"/>
    <w:rsid w:val="00C762DF"/>
    <w:rsid w:val="00C763DF"/>
    <w:rsid w:val="00C76574"/>
    <w:rsid w:val="00C765A7"/>
    <w:rsid w:val="00C76722"/>
    <w:rsid w:val="00C76AB0"/>
    <w:rsid w:val="00C76BD0"/>
    <w:rsid w:val="00C76D02"/>
    <w:rsid w:val="00C77017"/>
    <w:rsid w:val="00C770B6"/>
    <w:rsid w:val="00C774AB"/>
    <w:rsid w:val="00C77815"/>
    <w:rsid w:val="00C77BDE"/>
    <w:rsid w:val="00C77FD1"/>
    <w:rsid w:val="00C8009C"/>
    <w:rsid w:val="00C80184"/>
    <w:rsid w:val="00C801B9"/>
    <w:rsid w:val="00C8039F"/>
    <w:rsid w:val="00C80520"/>
    <w:rsid w:val="00C80687"/>
    <w:rsid w:val="00C80CE9"/>
    <w:rsid w:val="00C80E0D"/>
    <w:rsid w:val="00C80FA9"/>
    <w:rsid w:val="00C81257"/>
    <w:rsid w:val="00C8139F"/>
    <w:rsid w:val="00C81516"/>
    <w:rsid w:val="00C816CB"/>
    <w:rsid w:val="00C81756"/>
    <w:rsid w:val="00C818FA"/>
    <w:rsid w:val="00C81A8D"/>
    <w:rsid w:val="00C81AAC"/>
    <w:rsid w:val="00C81B90"/>
    <w:rsid w:val="00C81CC6"/>
    <w:rsid w:val="00C82659"/>
    <w:rsid w:val="00C82877"/>
    <w:rsid w:val="00C82883"/>
    <w:rsid w:val="00C829B7"/>
    <w:rsid w:val="00C829C3"/>
    <w:rsid w:val="00C831EC"/>
    <w:rsid w:val="00C83231"/>
    <w:rsid w:val="00C8324E"/>
    <w:rsid w:val="00C83647"/>
    <w:rsid w:val="00C83774"/>
    <w:rsid w:val="00C83888"/>
    <w:rsid w:val="00C839DF"/>
    <w:rsid w:val="00C83FAE"/>
    <w:rsid w:val="00C84394"/>
    <w:rsid w:val="00C84607"/>
    <w:rsid w:val="00C84880"/>
    <w:rsid w:val="00C84D97"/>
    <w:rsid w:val="00C84E01"/>
    <w:rsid w:val="00C84FDB"/>
    <w:rsid w:val="00C85060"/>
    <w:rsid w:val="00C85147"/>
    <w:rsid w:val="00C8516F"/>
    <w:rsid w:val="00C85199"/>
    <w:rsid w:val="00C8524A"/>
    <w:rsid w:val="00C85299"/>
    <w:rsid w:val="00C856C8"/>
    <w:rsid w:val="00C8585D"/>
    <w:rsid w:val="00C85A2F"/>
    <w:rsid w:val="00C8613D"/>
    <w:rsid w:val="00C862D0"/>
    <w:rsid w:val="00C86487"/>
    <w:rsid w:val="00C866FD"/>
    <w:rsid w:val="00C867D1"/>
    <w:rsid w:val="00C8680C"/>
    <w:rsid w:val="00C86841"/>
    <w:rsid w:val="00C8698F"/>
    <w:rsid w:val="00C86A39"/>
    <w:rsid w:val="00C86F3E"/>
    <w:rsid w:val="00C87186"/>
    <w:rsid w:val="00C8731C"/>
    <w:rsid w:val="00C8735B"/>
    <w:rsid w:val="00C87374"/>
    <w:rsid w:val="00C87461"/>
    <w:rsid w:val="00C87923"/>
    <w:rsid w:val="00C8795D"/>
    <w:rsid w:val="00C87ABA"/>
    <w:rsid w:val="00C87B4D"/>
    <w:rsid w:val="00C87CA7"/>
    <w:rsid w:val="00C87D88"/>
    <w:rsid w:val="00C90023"/>
    <w:rsid w:val="00C90040"/>
    <w:rsid w:val="00C9017E"/>
    <w:rsid w:val="00C9044D"/>
    <w:rsid w:val="00C906B8"/>
    <w:rsid w:val="00C908AD"/>
    <w:rsid w:val="00C90F20"/>
    <w:rsid w:val="00C91067"/>
    <w:rsid w:val="00C912FF"/>
    <w:rsid w:val="00C913A1"/>
    <w:rsid w:val="00C914F4"/>
    <w:rsid w:val="00C91C26"/>
    <w:rsid w:val="00C91D6E"/>
    <w:rsid w:val="00C92332"/>
    <w:rsid w:val="00C9259F"/>
    <w:rsid w:val="00C92AE6"/>
    <w:rsid w:val="00C92B66"/>
    <w:rsid w:val="00C92B9F"/>
    <w:rsid w:val="00C93064"/>
    <w:rsid w:val="00C93141"/>
    <w:rsid w:val="00C93636"/>
    <w:rsid w:val="00C93B75"/>
    <w:rsid w:val="00C93C98"/>
    <w:rsid w:val="00C94AD8"/>
    <w:rsid w:val="00C94CF8"/>
    <w:rsid w:val="00C94D15"/>
    <w:rsid w:val="00C94D81"/>
    <w:rsid w:val="00C94D8B"/>
    <w:rsid w:val="00C94E74"/>
    <w:rsid w:val="00C94E8D"/>
    <w:rsid w:val="00C94EE3"/>
    <w:rsid w:val="00C94F62"/>
    <w:rsid w:val="00C9507B"/>
    <w:rsid w:val="00C9512D"/>
    <w:rsid w:val="00C9595B"/>
    <w:rsid w:val="00C95CA9"/>
    <w:rsid w:val="00C95CC4"/>
    <w:rsid w:val="00C9680A"/>
    <w:rsid w:val="00C96C15"/>
    <w:rsid w:val="00C96CA2"/>
    <w:rsid w:val="00C96CBD"/>
    <w:rsid w:val="00C971A4"/>
    <w:rsid w:val="00C97348"/>
    <w:rsid w:val="00C97526"/>
    <w:rsid w:val="00C9768C"/>
    <w:rsid w:val="00C976DD"/>
    <w:rsid w:val="00C97981"/>
    <w:rsid w:val="00CA0F53"/>
    <w:rsid w:val="00CA1244"/>
    <w:rsid w:val="00CA12CB"/>
    <w:rsid w:val="00CA1567"/>
    <w:rsid w:val="00CA15A8"/>
    <w:rsid w:val="00CA15BC"/>
    <w:rsid w:val="00CA2056"/>
    <w:rsid w:val="00CA256D"/>
    <w:rsid w:val="00CA2780"/>
    <w:rsid w:val="00CA27DE"/>
    <w:rsid w:val="00CA28E7"/>
    <w:rsid w:val="00CA2A94"/>
    <w:rsid w:val="00CA2B12"/>
    <w:rsid w:val="00CA2E2B"/>
    <w:rsid w:val="00CA3345"/>
    <w:rsid w:val="00CA33BD"/>
    <w:rsid w:val="00CA355B"/>
    <w:rsid w:val="00CA369D"/>
    <w:rsid w:val="00CA3A33"/>
    <w:rsid w:val="00CA3C0C"/>
    <w:rsid w:val="00CA3EFD"/>
    <w:rsid w:val="00CA40B2"/>
    <w:rsid w:val="00CA45A5"/>
    <w:rsid w:val="00CA4847"/>
    <w:rsid w:val="00CA4D9C"/>
    <w:rsid w:val="00CA4DDC"/>
    <w:rsid w:val="00CA50C8"/>
    <w:rsid w:val="00CA51A6"/>
    <w:rsid w:val="00CA5632"/>
    <w:rsid w:val="00CA5695"/>
    <w:rsid w:val="00CA571B"/>
    <w:rsid w:val="00CA57BA"/>
    <w:rsid w:val="00CA5AF3"/>
    <w:rsid w:val="00CA5D86"/>
    <w:rsid w:val="00CA5EF6"/>
    <w:rsid w:val="00CA606C"/>
    <w:rsid w:val="00CA65C9"/>
    <w:rsid w:val="00CA661B"/>
    <w:rsid w:val="00CA66C7"/>
    <w:rsid w:val="00CA6976"/>
    <w:rsid w:val="00CA6A03"/>
    <w:rsid w:val="00CA6F95"/>
    <w:rsid w:val="00CA723D"/>
    <w:rsid w:val="00CA749E"/>
    <w:rsid w:val="00CA779C"/>
    <w:rsid w:val="00CB0421"/>
    <w:rsid w:val="00CB050D"/>
    <w:rsid w:val="00CB0547"/>
    <w:rsid w:val="00CB0689"/>
    <w:rsid w:val="00CB07C9"/>
    <w:rsid w:val="00CB0983"/>
    <w:rsid w:val="00CB09E2"/>
    <w:rsid w:val="00CB09E4"/>
    <w:rsid w:val="00CB0BED"/>
    <w:rsid w:val="00CB0D8A"/>
    <w:rsid w:val="00CB0EF6"/>
    <w:rsid w:val="00CB0F46"/>
    <w:rsid w:val="00CB13E0"/>
    <w:rsid w:val="00CB1427"/>
    <w:rsid w:val="00CB15FC"/>
    <w:rsid w:val="00CB167C"/>
    <w:rsid w:val="00CB1797"/>
    <w:rsid w:val="00CB1809"/>
    <w:rsid w:val="00CB195F"/>
    <w:rsid w:val="00CB1A1E"/>
    <w:rsid w:val="00CB1AB2"/>
    <w:rsid w:val="00CB2136"/>
    <w:rsid w:val="00CB21FE"/>
    <w:rsid w:val="00CB222F"/>
    <w:rsid w:val="00CB23C3"/>
    <w:rsid w:val="00CB2761"/>
    <w:rsid w:val="00CB3849"/>
    <w:rsid w:val="00CB3972"/>
    <w:rsid w:val="00CB39ED"/>
    <w:rsid w:val="00CB3A08"/>
    <w:rsid w:val="00CB3D56"/>
    <w:rsid w:val="00CB3FCE"/>
    <w:rsid w:val="00CB43D2"/>
    <w:rsid w:val="00CB47B7"/>
    <w:rsid w:val="00CB47BF"/>
    <w:rsid w:val="00CB4A3C"/>
    <w:rsid w:val="00CB50C4"/>
    <w:rsid w:val="00CB5299"/>
    <w:rsid w:val="00CB59C9"/>
    <w:rsid w:val="00CB60AC"/>
    <w:rsid w:val="00CB60CF"/>
    <w:rsid w:val="00CB61F0"/>
    <w:rsid w:val="00CB63E6"/>
    <w:rsid w:val="00CB648F"/>
    <w:rsid w:val="00CB64E7"/>
    <w:rsid w:val="00CB6711"/>
    <w:rsid w:val="00CB6764"/>
    <w:rsid w:val="00CB6770"/>
    <w:rsid w:val="00CB697A"/>
    <w:rsid w:val="00CB6AA1"/>
    <w:rsid w:val="00CB74F2"/>
    <w:rsid w:val="00CB77E3"/>
    <w:rsid w:val="00CB79D9"/>
    <w:rsid w:val="00CC006E"/>
    <w:rsid w:val="00CC02AC"/>
    <w:rsid w:val="00CC056B"/>
    <w:rsid w:val="00CC0729"/>
    <w:rsid w:val="00CC0840"/>
    <w:rsid w:val="00CC0914"/>
    <w:rsid w:val="00CC1513"/>
    <w:rsid w:val="00CC16AB"/>
    <w:rsid w:val="00CC18EF"/>
    <w:rsid w:val="00CC1F09"/>
    <w:rsid w:val="00CC2406"/>
    <w:rsid w:val="00CC27A4"/>
    <w:rsid w:val="00CC2970"/>
    <w:rsid w:val="00CC2C60"/>
    <w:rsid w:val="00CC30DB"/>
    <w:rsid w:val="00CC360C"/>
    <w:rsid w:val="00CC3702"/>
    <w:rsid w:val="00CC385F"/>
    <w:rsid w:val="00CC38B2"/>
    <w:rsid w:val="00CC3922"/>
    <w:rsid w:val="00CC3A45"/>
    <w:rsid w:val="00CC3F21"/>
    <w:rsid w:val="00CC3F91"/>
    <w:rsid w:val="00CC4142"/>
    <w:rsid w:val="00CC4217"/>
    <w:rsid w:val="00CC43F3"/>
    <w:rsid w:val="00CC44E3"/>
    <w:rsid w:val="00CC4587"/>
    <w:rsid w:val="00CC4635"/>
    <w:rsid w:val="00CC4857"/>
    <w:rsid w:val="00CC49E9"/>
    <w:rsid w:val="00CC4FC4"/>
    <w:rsid w:val="00CC57E4"/>
    <w:rsid w:val="00CC5D44"/>
    <w:rsid w:val="00CC5F4C"/>
    <w:rsid w:val="00CC613A"/>
    <w:rsid w:val="00CC626C"/>
    <w:rsid w:val="00CC63E9"/>
    <w:rsid w:val="00CC6764"/>
    <w:rsid w:val="00CC67AA"/>
    <w:rsid w:val="00CC6A64"/>
    <w:rsid w:val="00CC6DCA"/>
    <w:rsid w:val="00CC714F"/>
    <w:rsid w:val="00CC7413"/>
    <w:rsid w:val="00CC75C2"/>
    <w:rsid w:val="00CC7A64"/>
    <w:rsid w:val="00CC7FA2"/>
    <w:rsid w:val="00CD0307"/>
    <w:rsid w:val="00CD04AC"/>
    <w:rsid w:val="00CD0579"/>
    <w:rsid w:val="00CD05FD"/>
    <w:rsid w:val="00CD0669"/>
    <w:rsid w:val="00CD0828"/>
    <w:rsid w:val="00CD0910"/>
    <w:rsid w:val="00CD0C06"/>
    <w:rsid w:val="00CD0C1A"/>
    <w:rsid w:val="00CD0CA6"/>
    <w:rsid w:val="00CD0CEC"/>
    <w:rsid w:val="00CD1199"/>
    <w:rsid w:val="00CD1481"/>
    <w:rsid w:val="00CD1520"/>
    <w:rsid w:val="00CD1643"/>
    <w:rsid w:val="00CD1C77"/>
    <w:rsid w:val="00CD1C87"/>
    <w:rsid w:val="00CD1FB7"/>
    <w:rsid w:val="00CD2022"/>
    <w:rsid w:val="00CD25B7"/>
    <w:rsid w:val="00CD2E2E"/>
    <w:rsid w:val="00CD353A"/>
    <w:rsid w:val="00CD3671"/>
    <w:rsid w:val="00CD37A5"/>
    <w:rsid w:val="00CD3891"/>
    <w:rsid w:val="00CD38E1"/>
    <w:rsid w:val="00CD39DC"/>
    <w:rsid w:val="00CD3AA3"/>
    <w:rsid w:val="00CD3BA5"/>
    <w:rsid w:val="00CD3CA5"/>
    <w:rsid w:val="00CD3EB1"/>
    <w:rsid w:val="00CD3F1C"/>
    <w:rsid w:val="00CD481F"/>
    <w:rsid w:val="00CD494B"/>
    <w:rsid w:val="00CD4E33"/>
    <w:rsid w:val="00CD4F1F"/>
    <w:rsid w:val="00CD4F5F"/>
    <w:rsid w:val="00CD50F4"/>
    <w:rsid w:val="00CD5345"/>
    <w:rsid w:val="00CD5394"/>
    <w:rsid w:val="00CD5397"/>
    <w:rsid w:val="00CD550B"/>
    <w:rsid w:val="00CD5524"/>
    <w:rsid w:val="00CD59FD"/>
    <w:rsid w:val="00CD6488"/>
    <w:rsid w:val="00CD6752"/>
    <w:rsid w:val="00CD67AA"/>
    <w:rsid w:val="00CD6856"/>
    <w:rsid w:val="00CD6A77"/>
    <w:rsid w:val="00CD6FD8"/>
    <w:rsid w:val="00CD7057"/>
    <w:rsid w:val="00CD7383"/>
    <w:rsid w:val="00CD7889"/>
    <w:rsid w:val="00CD7C63"/>
    <w:rsid w:val="00CE048E"/>
    <w:rsid w:val="00CE0513"/>
    <w:rsid w:val="00CE0690"/>
    <w:rsid w:val="00CE0DB9"/>
    <w:rsid w:val="00CE10E6"/>
    <w:rsid w:val="00CE1591"/>
    <w:rsid w:val="00CE1C20"/>
    <w:rsid w:val="00CE1C3F"/>
    <w:rsid w:val="00CE1FD6"/>
    <w:rsid w:val="00CE1FDA"/>
    <w:rsid w:val="00CE2294"/>
    <w:rsid w:val="00CE2452"/>
    <w:rsid w:val="00CE2622"/>
    <w:rsid w:val="00CE2746"/>
    <w:rsid w:val="00CE2ABB"/>
    <w:rsid w:val="00CE2C31"/>
    <w:rsid w:val="00CE2E3C"/>
    <w:rsid w:val="00CE3547"/>
    <w:rsid w:val="00CE36D1"/>
    <w:rsid w:val="00CE376E"/>
    <w:rsid w:val="00CE3905"/>
    <w:rsid w:val="00CE3A7F"/>
    <w:rsid w:val="00CE3BA6"/>
    <w:rsid w:val="00CE3E98"/>
    <w:rsid w:val="00CE3F65"/>
    <w:rsid w:val="00CE40A9"/>
    <w:rsid w:val="00CE422B"/>
    <w:rsid w:val="00CE42AB"/>
    <w:rsid w:val="00CE4372"/>
    <w:rsid w:val="00CE502F"/>
    <w:rsid w:val="00CE5069"/>
    <w:rsid w:val="00CE519B"/>
    <w:rsid w:val="00CE573E"/>
    <w:rsid w:val="00CE5988"/>
    <w:rsid w:val="00CE5C40"/>
    <w:rsid w:val="00CE5D86"/>
    <w:rsid w:val="00CE610E"/>
    <w:rsid w:val="00CE6513"/>
    <w:rsid w:val="00CE65B3"/>
    <w:rsid w:val="00CE6646"/>
    <w:rsid w:val="00CE6715"/>
    <w:rsid w:val="00CE6ED8"/>
    <w:rsid w:val="00CE6F5F"/>
    <w:rsid w:val="00CE74F5"/>
    <w:rsid w:val="00CE780B"/>
    <w:rsid w:val="00CE7A29"/>
    <w:rsid w:val="00CE7A3D"/>
    <w:rsid w:val="00CE7BAD"/>
    <w:rsid w:val="00CE7FB0"/>
    <w:rsid w:val="00CF0396"/>
    <w:rsid w:val="00CF044C"/>
    <w:rsid w:val="00CF06FC"/>
    <w:rsid w:val="00CF0881"/>
    <w:rsid w:val="00CF08B9"/>
    <w:rsid w:val="00CF0924"/>
    <w:rsid w:val="00CF11E5"/>
    <w:rsid w:val="00CF1293"/>
    <w:rsid w:val="00CF13DE"/>
    <w:rsid w:val="00CF14D4"/>
    <w:rsid w:val="00CF1A06"/>
    <w:rsid w:val="00CF1C61"/>
    <w:rsid w:val="00CF20B5"/>
    <w:rsid w:val="00CF2428"/>
    <w:rsid w:val="00CF2524"/>
    <w:rsid w:val="00CF2561"/>
    <w:rsid w:val="00CF299B"/>
    <w:rsid w:val="00CF2C38"/>
    <w:rsid w:val="00CF301E"/>
    <w:rsid w:val="00CF33FD"/>
    <w:rsid w:val="00CF3689"/>
    <w:rsid w:val="00CF37E8"/>
    <w:rsid w:val="00CF38C3"/>
    <w:rsid w:val="00CF38E6"/>
    <w:rsid w:val="00CF3B95"/>
    <w:rsid w:val="00CF3D36"/>
    <w:rsid w:val="00CF3DDB"/>
    <w:rsid w:val="00CF3FA8"/>
    <w:rsid w:val="00CF43ED"/>
    <w:rsid w:val="00CF4633"/>
    <w:rsid w:val="00CF47F2"/>
    <w:rsid w:val="00CF4D34"/>
    <w:rsid w:val="00CF4D5E"/>
    <w:rsid w:val="00CF4FCC"/>
    <w:rsid w:val="00CF51F9"/>
    <w:rsid w:val="00CF56AB"/>
    <w:rsid w:val="00CF573F"/>
    <w:rsid w:val="00CF58B7"/>
    <w:rsid w:val="00CF5901"/>
    <w:rsid w:val="00CF5B7D"/>
    <w:rsid w:val="00CF5D84"/>
    <w:rsid w:val="00CF5F06"/>
    <w:rsid w:val="00CF62ED"/>
    <w:rsid w:val="00CF68D2"/>
    <w:rsid w:val="00CF69A6"/>
    <w:rsid w:val="00CF6B50"/>
    <w:rsid w:val="00CF6D5C"/>
    <w:rsid w:val="00CF708F"/>
    <w:rsid w:val="00CF7379"/>
    <w:rsid w:val="00CF7734"/>
    <w:rsid w:val="00CF7BAD"/>
    <w:rsid w:val="00D001A2"/>
    <w:rsid w:val="00D008D5"/>
    <w:rsid w:val="00D00AA6"/>
    <w:rsid w:val="00D00F10"/>
    <w:rsid w:val="00D00F77"/>
    <w:rsid w:val="00D012CC"/>
    <w:rsid w:val="00D012E1"/>
    <w:rsid w:val="00D013FD"/>
    <w:rsid w:val="00D01647"/>
    <w:rsid w:val="00D01700"/>
    <w:rsid w:val="00D0185B"/>
    <w:rsid w:val="00D0187F"/>
    <w:rsid w:val="00D01C4E"/>
    <w:rsid w:val="00D01CED"/>
    <w:rsid w:val="00D01F22"/>
    <w:rsid w:val="00D02232"/>
    <w:rsid w:val="00D02AB0"/>
    <w:rsid w:val="00D02ADE"/>
    <w:rsid w:val="00D02B47"/>
    <w:rsid w:val="00D02C74"/>
    <w:rsid w:val="00D02D1B"/>
    <w:rsid w:val="00D03172"/>
    <w:rsid w:val="00D03395"/>
    <w:rsid w:val="00D03AD9"/>
    <w:rsid w:val="00D03CAA"/>
    <w:rsid w:val="00D03F54"/>
    <w:rsid w:val="00D04069"/>
    <w:rsid w:val="00D0432E"/>
    <w:rsid w:val="00D04DB6"/>
    <w:rsid w:val="00D04FD0"/>
    <w:rsid w:val="00D0556A"/>
    <w:rsid w:val="00D05673"/>
    <w:rsid w:val="00D05B91"/>
    <w:rsid w:val="00D05CD5"/>
    <w:rsid w:val="00D05E49"/>
    <w:rsid w:val="00D064F1"/>
    <w:rsid w:val="00D069D6"/>
    <w:rsid w:val="00D06B44"/>
    <w:rsid w:val="00D06B6A"/>
    <w:rsid w:val="00D07361"/>
    <w:rsid w:val="00D076E8"/>
    <w:rsid w:val="00D07725"/>
    <w:rsid w:val="00D07E77"/>
    <w:rsid w:val="00D1002B"/>
    <w:rsid w:val="00D10244"/>
    <w:rsid w:val="00D10686"/>
    <w:rsid w:val="00D1080D"/>
    <w:rsid w:val="00D10D2B"/>
    <w:rsid w:val="00D11239"/>
    <w:rsid w:val="00D11330"/>
    <w:rsid w:val="00D11458"/>
    <w:rsid w:val="00D11C8F"/>
    <w:rsid w:val="00D11D48"/>
    <w:rsid w:val="00D124CD"/>
    <w:rsid w:val="00D12628"/>
    <w:rsid w:val="00D1265D"/>
    <w:rsid w:val="00D12789"/>
    <w:rsid w:val="00D1282A"/>
    <w:rsid w:val="00D12A14"/>
    <w:rsid w:val="00D12B80"/>
    <w:rsid w:val="00D12BB5"/>
    <w:rsid w:val="00D12CF9"/>
    <w:rsid w:val="00D12DF0"/>
    <w:rsid w:val="00D1302C"/>
    <w:rsid w:val="00D134CA"/>
    <w:rsid w:val="00D13649"/>
    <w:rsid w:val="00D1383D"/>
    <w:rsid w:val="00D1386E"/>
    <w:rsid w:val="00D13AF4"/>
    <w:rsid w:val="00D13D60"/>
    <w:rsid w:val="00D13FB0"/>
    <w:rsid w:val="00D1419E"/>
    <w:rsid w:val="00D1424C"/>
    <w:rsid w:val="00D1425D"/>
    <w:rsid w:val="00D1444E"/>
    <w:rsid w:val="00D146B4"/>
    <w:rsid w:val="00D146FD"/>
    <w:rsid w:val="00D14922"/>
    <w:rsid w:val="00D14A4C"/>
    <w:rsid w:val="00D15253"/>
    <w:rsid w:val="00D1535F"/>
    <w:rsid w:val="00D15456"/>
    <w:rsid w:val="00D15474"/>
    <w:rsid w:val="00D154DD"/>
    <w:rsid w:val="00D156FB"/>
    <w:rsid w:val="00D15807"/>
    <w:rsid w:val="00D15987"/>
    <w:rsid w:val="00D15A5F"/>
    <w:rsid w:val="00D15A98"/>
    <w:rsid w:val="00D15E48"/>
    <w:rsid w:val="00D168FC"/>
    <w:rsid w:val="00D16C2C"/>
    <w:rsid w:val="00D16D15"/>
    <w:rsid w:val="00D16EC7"/>
    <w:rsid w:val="00D16FD2"/>
    <w:rsid w:val="00D17414"/>
    <w:rsid w:val="00D174F6"/>
    <w:rsid w:val="00D175DE"/>
    <w:rsid w:val="00D17ACC"/>
    <w:rsid w:val="00D17CCD"/>
    <w:rsid w:val="00D20011"/>
    <w:rsid w:val="00D200E4"/>
    <w:rsid w:val="00D203BF"/>
    <w:rsid w:val="00D204D7"/>
    <w:rsid w:val="00D2085B"/>
    <w:rsid w:val="00D208CD"/>
    <w:rsid w:val="00D209FD"/>
    <w:rsid w:val="00D20AB8"/>
    <w:rsid w:val="00D20F1B"/>
    <w:rsid w:val="00D21696"/>
    <w:rsid w:val="00D216EE"/>
    <w:rsid w:val="00D21CCE"/>
    <w:rsid w:val="00D21DCB"/>
    <w:rsid w:val="00D22066"/>
    <w:rsid w:val="00D22204"/>
    <w:rsid w:val="00D2243B"/>
    <w:rsid w:val="00D22455"/>
    <w:rsid w:val="00D22562"/>
    <w:rsid w:val="00D228A5"/>
    <w:rsid w:val="00D229A4"/>
    <w:rsid w:val="00D22BAA"/>
    <w:rsid w:val="00D22CB0"/>
    <w:rsid w:val="00D22D64"/>
    <w:rsid w:val="00D22F1C"/>
    <w:rsid w:val="00D22F4E"/>
    <w:rsid w:val="00D2302E"/>
    <w:rsid w:val="00D23575"/>
    <w:rsid w:val="00D23577"/>
    <w:rsid w:val="00D237D4"/>
    <w:rsid w:val="00D23E3C"/>
    <w:rsid w:val="00D24356"/>
    <w:rsid w:val="00D24396"/>
    <w:rsid w:val="00D24D3F"/>
    <w:rsid w:val="00D24F73"/>
    <w:rsid w:val="00D24FA0"/>
    <w:rsid w:val="00D25057"/>
    <w:rsid w:val="00D25068"/>
    <w:rsid w:val="00D2524A"/>
    <w:rsid w:val="00D256D4"/>
    <w:rsid w:val="00D257C9"/>
    <w:rsid w:val="00D258D3"/>
    <w:rsid w:val="00D25A4A"/>
    <w:rsid w:val="00D25DD6"/>
    <w:rsid w:val="00D261DC"/>
    <w:rsid w:val="00D2634B"/>
    <w:rsid w:val="00D26520"/>
    <w:rsid w:val="00D26542"/>
    <w:rsid w:val="00D2676A"/>
    <w:rsid w:val="00D268F4"/>
    <w:rsid w:val="00D2698A"/>
    <w:rsid w:val="00D26CD0"/>
    <w:rsid w:val="00D2715A"/>
    <w:rsid w:val="00D271A4"/>
    <w:rsid w:val="00D27527"/>
    <w:rsid w:val="00D277AD"/>
    <w:rsid w:val="00D2795B"/>
    <w:rsid w:val="00D27F3A"/>
    <w:rsid w:val="00D302B5"/>
    <w:rsid w:val="00D304FC"/>
    <w:rsid w:val="00D3059B"/>
    <w:rsid w:val="00D309E9"/>
    <w:rsid w:val="00D30DD6"/>
    <w:rsid w:val="00D31123"/>
    <w:rsid w:val="00D31151"/>
    <w:rsid w:val="00D31500"/>
    <w:rsid w:val="00D3182E"/>
    <w:rsid w:val="00D31AD6"/>
    <w:rsid w:val="00D31C1E"/>
    <w:rsid w:val="00D31C66"/>
    <w:rsid w:val="00D31CFC"/>
    <w:rsid w:val="00D31D60"/>
    <w:rsid w:val="00D32288"/>
    <w:rsid w:val="00D3233E"/>
    <w:rsid w:val="00D3245A"/>
    <w:rsid w:val="00D327BF"/>
    <w:rsid w:val="00D3286B"/>
    <w:rsid w:val="00D328AB"/>
    <w:rsid w:val="00D32A29"/>
    <w:rsid w:val="00D32DC4"/>
    <w:rsid w:val="00D32E59"/>
    <w:rsid w:val="00D32E72"/>
    <w:rsid w:val="00D32F17"/>
    <w:rsid w:val="00D33022"/>
    <w:rsid w:val="00D33699"/>
    <w:rsid w:val="00D337C2"/>
    <w:rsid w:val="00D3395D"/>
    <w:rsid w:val="00D33A33"/>
    <w:rsid w:val="00D33AF3"/>
    <w:rsid w:val="00D33E10"/>
    <w:rsid w:val="00D3423E"/>
    <w:rsid w:val="00D343A3"/>
    <w:rsid w:val="00D3440F"/>
    <w:rsid w:val="00D34876"/>
    <w:rsid w:val="00D349EB"/>
    <w:rsid w:val="00D34CAD"/>
    <w:rsid w:val="00D34FB2"/>
    <w:rsid w:val="00D3528B"/>
    <w:rsid w:val="00D3552E"/>
    <w:rsid w:val="00D3582B"/>
    <w:rsid w:val="00D35862"/>
    <w:rsid w:val="00D358C5"/>
    <w:rsid w:val="00D35983"/>
    <w:rsid w:val="00D35B31"/>
    <w:rsid w:val="00D35DEF"/>
    <w:rsid w:val="00D3610C"/>
    <w:rsid w:val="00D36414"/>
    <w:rsid w:val="00D36667"/>
    <w:rsid w:val="00D3667D"/>
    <w:rsid w:val="00D367BE"/>
    <w:rsid w:val="00D36916"/>
    <w:rsid w:val="00D36C6B"/>
    <w:rsid w:val="00D36CFD"/>
    <w:rsid w:val="00D36F4F"/>
    <w:rsid w:val="00D372BC"/>
    <w:rsid w:val="00D372C7"/>
    <w:rsid w:val="00D373B6"/>
    <w:rsid w:val="00D37499"/>
    <w:rsid w:val="00D37654"/>
    <w:rsid w:val="00D378EA"/>
    <w:rsid w:val="00D37B10"/>
    <w:rsid w:val="00D37EB3"/>
    <w:rsid w:val="00D37FF9"/>
    <w:rsid w:val="00D40174"/>
    <w:rsid w:val="00D4018F"/>
    <w:rsid w:val="00D40316"/>
    <w:rsid w:val="00D40329"/>
    <w:rsid w:val="00D405DF"/>
    <w:rsid w:val="00D40625"/>
    <w:rsid w:val="00D40774"/>
    <w:rsid w:val="00D4080B"/>
    <w:rsid w:val="00D4087E"/>
    <w:rsid w:val="00D40AAC"/>
    <w:rsid w:val="00D40B51"/>
    <w:rsid w:val="00D40E07"/>
    <w:rsid w:val="00D40F5F"/>
    <w:rsid w:val="00D413B2"/>
    <w:rsid w:val="00D41798"/>
    <w:rsid w:val="00D41895"/>
    <w:rsid w:val="00D41AE5"/>
    <w:rsid w:val="00D41CDD"/>
    <w:rsid w:val="00D41DEC"/>
    <w:rsid w:val="00D41EE8"/>
    <w:rsid w:val="00D41FAE"/>
    <w:rsid w:val="00D41FF7"/>
    <w:rsid w:val="00D42482"/>
    <w:rsid w:val="00D42686"/>
    <w:rsid w:val="00D426D5"/>
    <w:rsid w:val="00D426E3"/>
    <w:rsid w:val="00D429DF"/>
    <w:rsid w:val="00D42B20"/>
    <w:rsid w:val="00D42B5D"/>
    <w:rsid w:val="00D42B87"/>
    <w:rsid w:val="00D42CB9"/>
    <w:rsid w:val="00D42FCC"/>
    <w:rsid w:val="00D432F4"/>
    <w:rsid w:val="00D43460"/>
    <w:rsid w:val="00D43771"/>
    <w:rsid w:val="00D43A35"/>
    <w:rsid w:val="00D43A83"/>
    <w:rsid w:val="00D43B6D"/>
    <w:rsid w:val="00D44252"/>
    <w:rsid w:val="00D44397"/>
    <w:rsid w:val="00D444F7"/>
    <w:rsid w:val="00D44606"/>
    <w:rsid w:val="00D44626"/>
    <w:rsid w:val="00D4470A"/>
    <w:rsid w:val="00D4470F"/>
    <w:rsid w:val="00D44C64"/>
    <w:rsid w:val="00D44C99"/>
    <w:rsid w:val="00D44F24"/>
    <w:rsid w:val="00D44F61"/>
    <w:rsid w:val="00D451EE"/>
    <w:rsid w:val="00D452C5"/>
    <w:rsid w:val="00D459C2"/>
    <w:rsid w:val="00D459D3"/>
    <w:rsid w:val="00D46537"/>
    <w:rsid w:val="00D46564"/>
    <w:rsid w:val="00D4672B"/>
    <w:rsid w:val="00D46A8B"/>
    <w:rsid w:val="00D46AB2"/>
    <w:rsid w:val="00D47216"/>
    <w:rsid w:val="00D47468"/>
    <w:rsid w:val="00D474E7"/>
    <w:rsid w:val="00D47C07"/>
    <w:rsid w:val="00D47DC1"/>
    <w:rsid w:val="00D47DCF"/>
    <w:rsid w:val="00D47E7A"/>
    <w:rsid w:val="00D50535"/>
    <w:rsid w:val="00D5058D"/>
    <w:rsid w:val="00D50A40"/>
    <w:rsid w:val="00D50A99"/>
    <w:rsid w:val="00D51169"/>
    <w:rsid w:val="00D51173"/>
    <w:rsid w:val="00D511AC"/>
    <w:rsid w:val="00D512D7"/>
    <w:rsid w:val="00D51631"/>
    <w:rsid w:val="00D51683"/>
    <w:rsid w:val="00D516E8"/>
    <w:rsid w:val="00D51740"/>
    <w:rsid w:val="00D52166"/>
    <w:rsid w:val="00D52553"/>
    <w:rsid w:val="00D527E4"/>
    <w:rsid w:val="00D52831"/>
    <w:rsid w:val="00D5292B"/>
    <w:rsid w:val="00D52AAA"/>
    <w:rsid w:val="00D52ADA"/>
    <w:rsid w:val="00D52F1C"/>
    <w:rsid w:val="00D53235"/>
    <w:rsid w:val="00D53BE6"/>
    <w:rsid w:val="00D53EA0"/>
    <w:rsid w:val="00D545D8"/>
    <w:rsid w:val="00D54B75"/>
    <w:rsid w:val="00D54BD0"/>
    <w:rsid w:val="00D54C09"/>
    <w:rsid w:val="00D54FAB"/>
    <w:rsid w:val="00D5509F"/>
    <w:rsid w:val="00D5521D"/>
    <w:rsid w:val="00D553E6"/>
    <w:rsid w:val="00D5549B"/>
    <w:rsid w:val="00D5593B"/>
    <w:rsid w:val="00D55C89"/>
    <w:rsid w:val="00D561D6"/>
    <w:rsid w:val="00D56696"/>
    <w:rsid w:val="00D5686A"/>
    <w:rsid w:val="00D56B52"/>
    <w:rsid w:val="00D56B88"/>
    <w:rsid w:val="00D56DF9"/>
    <w:rsid w:val="00D56EA0"/>
    <w:rsid w:val="00D56F05"/>
    <w:rsid w:val="00D573C5"/>
    <w:rsid w:val="00D5759B"/>
    <w:rsid w:val="00D57C4F"/>
    <w:rsid w:val="00D602AB"/>
    <w:rsid w:val="00D6035E"/>
    <w:rsid w:val="00D60646"/>
    <w:rsid w:val="00D60BC1"/>
    <w:rsid w:val="00D60D71"/>
    <w:rsid w:val="00D60FC1"/>
    <w:rsid w:val="00D613A3"/>
    <w:rsid w:val="00D613FB"/>
    <w:rsid w:val="00D615ED"/>
    <w:rsid w:val="00D61792"/>
    <w:rsid w:val="00D61927"/>
    <w:rsid w:val="00D61CA2"/>
    <w:rsid w:val="00D61CFD"/>
    <w:rsid w:val="00D61DA2"/>
    <w:rsid w:val="00D621EE"/>
    <w:rsid w:val="00D624BB"/>
    <w:rsid w:val="00D62A28"/>
    <w:rsid w:val="00D62AC5"/>
    <w:rsid w:val="00D62CCE"/>
    <w:rsid w:val="00D62DD7"/>
    <w:rsid w:val="00D63A04"/>
    <w:rsid w:val="00D63AAF"/>
    <w:rsid w:val="00D63C39"/>
    <w:rsid w:val="00D63CEE"/>
    <w:rsid w:val="00D63DB1"/>
    <w:rsid w:val="00D63DF5"/>
    <w:rsid w:val="00D6447B"/>
    <w:rsid w:val="00D64496"/>
    <w:rsid w:val="00D644DB"/>
    <w:rsid w:val="00D64695"/>
    <w:rsid w:val="00D64D77"/>
    <w:rsid w:val="00D64F38"/>
    <w:rsid w:val="00D65298"/>
    <w:rsid w:val="00D653CF"/>
    <w:rsid w:val="00D656F5"/>
    <w:rsid w:val="00D658CF"/>
    <w:rsid w:val="00D6593C"/>
    <w:rsid w:val="00D65D6B"/>
    <w:rsid w:val="00D663C4"/>
    <w:rsid w:val="00D66A05"/>
    <w:rsid w:val="00D66AEB"/>
    <w:rsid w:val="00D66E81"/>
    <w:rsid w:val="00D6711F"/>
    <w:rsid w:val="00D6740A"/>
    <w:rsid w:val="00D6765F"/>
    <w:rsid w:val="00D6773E"/>
    <w:rsid w:val="00D677D7"/>
    <w:rsid w:val="00D67A9A"/>
    <w:rsid w:val="00D67AE5"/>
    <w:rsid w:val="00D70548"/>
    <w:rsid w:val="00D705D6"/>
    <w:rsid w:val="00D70A66"/>
    <w:rsid w:val="00D70B81"/>
    <w:rsid w:val="00D70C69"/>
    <w:rsid w:val="00D70CD9"/>
    <w:rsid w:val="00D70D24"/>
    <w:rsid w:val="00D70FEC"/>
    <w:rsid w:val="00D711AD"/>
    <w:rsid w:val="00D711BB"/>
    <w:rsid w:val="00D7167D"/>
    <w:rsid w:val="00D718E1"/>
    <w:rsid w:val="00D71B06"/>
    <w:rsid w:val="00D71BE6"/>
    <w:rsid w:val="00D71C81"/>
    <w:rsid w:val="00D723ED"/>
    <w:rsid w:val="00D7246E"/>
    <w:rsid w:val="00D72622"/>
    <w:rsid w:val="00D727D9"/>
    <w:rsid w:val="00D72A4D"/>
    <w:rsid w:val="00D72B6A"/>
    <w:rsid w:val="00D72C22"/>
    <w:rsid w:val="00D7337C"/>
    <w:rsid w:val="00D73578"/>
    <w:rsid w:val="00D73603"/>
    <w:rsid w:val="00D73809"/>
    <w:rsid w:val="00D73B43"/>
    <w:rsid w:val="00D73D1A"/>
    <w:rsid w:val="00D73E58"/>
    <w:rsid w:val="00D73F31"/>
    <w:rsid w:val="00D73F8F"/>
    <w:rsid w:val="00D74001"/>
    <w:rsid w:val="00D74781"/>
    <w:rsid w:val="00D747E5"/>
    <w:rsid w:val="00D748A0"/>
    <w:rsid w:val="00D7497F"/>
    <w:rsid w:val="00D74D73"/>
    <w:rsid w:val="00D74DB4"/>
    <w:rsid w:val="00D74F63"/>
    <w:rsid w:val="00D75295"/>
    <w:rsid w:val="00D754BC"/>
    <w:rsid w:val="00D757F1"/>
    <w:rsid w:val="00D7604B"/>
    <w:rsid w:val="00D767A9"/>
    <w:rsid w:val="00D76A8A"/>
    <w:rsid w:val="00D76AB1"/>
    <w:rsid w:val="00D76D6D"/>
    <w:rsid w:val="00D76DA7"/>
    <w:rsid w:val="00D77490"/>
    <w:rsid w:val="00D77C44"/>
    <w:rsid w:val="00D77D4F"/>
    <w:rsid w:val="00D77FA4"/>
    <w:rsid w:val="00D801FA"/>
    <w:rsid w:val="00D803A8"/>
    <w:rsid w:val="00D80536"/>
    <w:rsid w:val="00D80621"/>
    <w:rsid w:val="00D80950"/>
    <w:rsid w:val="00D809A5"/>
    <w:rsid w:val="00D80DDE"/>
    <w:rsid w:val="00D80F03"/>
    <w:rsid w:val="00D80F0F"/>
    <w:rsid w:val="00D8111F"/>
    <w:rsid w:val="00D81446"/>
    <w:rsid w:val="00D817B2"/>
    <w:rsid w:val="00D81D42"/>
    <w:rsid w:val="00D81DA1"/>
    <w:rsid w:val="00D82006"/>
    <w:rsid w:val="00D8287B"/>
    <w:rsid w:val="00D82B99"/>
    <w:rsid w:val="00D82EC0"/>
    <w:rsid w:val="00D82FC2"/>
    <w:rsid w:val="00D832AB"/>
    <w:rsid w:val="00D83717"/>
    <w:rsid w:val="00D83E16"/>
    <w:rsid w:val="00D84004"/>
    <w:rsid w:val="00D840E1"/>
    <w:rsid w:val="00D84489"/>
    <w:rsid w:val="00D844D6"/>
    <w:rsid w:val="00D845D5"/>
    <w:rsid w:val="00D84789"/>
    <w:rsid w:val="00D84977"/>
    <w:rsid w:val="00D84A5D"/>
    <w:rsid w:val="00D84A71"/>
    <w:rsid w:val="00D84FE6"/>
    <w:rsid w:val="00D85417"/>
    <w:rsid w:val="00D85C26"/>
    <w:rsid w:val="00D86038"/>
    <w:rsid w:val="00D86078"/>
    <w:rsid w:val="00D860CD"/>
    <w:rsid w:val="00D86745"/>
    <w:rsid w:val="00D86764"/>
    <w:rsid w:val="00D86E28"/>
    <w:rsid w:val="00D87149"/>
    <w:rsid w:val="00D871A5"/>
    <w:rsid w:val="00D877F3"/>
    <w:rsid w:val="00D8788C"/>
    <w:rsid w:val="00D87906"/>
    <w:rsid w:val="00D87A7C"/>
    <w:rsid w:val="00D87A9E"/>
    <w:rsid w:val="00D87CC9"/>
    <w:rsid w:val="00D87D33"/>
    <w:rsid w:val="00D87DD0"/>
    <w:rsid w:val="00D87DE0"/>
    <w:rsid w:val="00D90026"/>
    <w:rsid w:val="00D9006B"/>
    <w:rsid w:val="00D900DB"/>
    <w:rsid w:val="00D90487"/>
    <w:rsid w:val="00D90695"/>
    <w:rsid w:val="00D90896"/>
    <w:rsid w:val="00D90C6C"/>
    <w:rsid w:val="00D90E16"/>
    <w:rsid w:val="00D90E6A"/>
    <w:rsid w:val="00D91099"/>
    <w:rsid w:val="00D9114E"/>
    <w:rsid w:val="00D912CD"/>
    <w:rsid w:val="00D9167F"/>
    <w:rsid w:val="00D91933"/>
    <w:rsid w:val="00D91AB4"/>
    <w:rsid w:val="00D91C9C"/>
    <w:rsid w:val="00D91DDF"/>
    <w:rsid w:val="00D91DE8"/>
    <w:rsid w:val="00D91E87"/>
    <w:rsid w:val="00D91F7A"/>
    <w:rsid w:val="00D920BC"/>
    <w:rsid w:val="00D922A8"/>
    <w:rsid w:val="00D92835"/>
    <w:rsid w:val="00D92F3F"/>
    <w:rsid w:val="00D939A5"/>
    <w:rsid w:val="00D942FC"/>
    <w:rsid w:val="00D94384"/>
    <w:rsid w:val="00D94650"/>
    <w:rsid w:val="00D94BE2"/>
    <w:rsid w:val="00D94D48"/>
    <w:rsid w:val="00D94DC3"/>
    <w:rsid w:val="00D94F54"/>
    <w:rsid w:val="00D950D3"/>
    <w:rsid w:val="00D95241"/>
    <w:rsid w:val="00D955E4"/>
    <w:rsid w:val="00D95651"/>
    <w:rsid w:val="00D95A56"/>
    <w:rsid w:val="00D95FA7"/>
    <w:rsid w:val="00D95FCF"/>
    <w:rsid w:val="00D962EA"/>
    <w:rsid w:val="00D96B0C"/>
    <w:rsid w:val="00D96B57"/>
    <w:rsid w:val="00D96D04"/>
    <w:rsid w:val="00D96F04"/>
    <w:rsid w:val="00D9702A"/>
    <w:rsid w:val="00D971F0"/>
    <w:rsid w:val="00D976B3"/>
    <w:rsid w:val="00D97917"/>
    <w:rsid w:val="00D97AFD"/>
    <w:rsid w:val="00DA02AF"/>
    <w:rsid w:val="00DA0415"/>
    <w:rsid w:val="00DA065B"/>
    <w:rsid w:val="00DA0945"/>
    <w:rsid w:val="00DA0AED"/>
    <w:rsid w:val="00DA17F8"/>
    <w:rsid w:val="00DA1B36"/>
    <w:rsid w:val="00DA1D53"/>
    <w:rsid w:val="00DA1F5F"/>
    <w:rsid w:val="00DA248B"/>
    <w:rsid w:val="00DA2652"/>
    <w:rsid w:val="00DA2655"/>
    <w:rsid w:val="00DA270B"/>
    <w:rsid w:val="00DA298E"/>
    <w:rsid w:val="00DA2D6A"/>
    <w:rsid w:val="00DA2DB5"/>
    <w:rsid w:val="00DA318F"/>
    <w:rsid w:val="00DA37D5"/>
    <w:rsid w:val="00DA3863"/>
    <w:rsid w:val="00DA38E0"/>
    <w:rsid w:val="00DA3BD5"/>
    <w:rsid w:val="00DA3E9F"/>
    <w:rsid w:val="00DA3F01"/>
    <w:rsid w:val="00DA4166"/>
    <w:rsid w:val="00DA41BE"/>
    <w:rsid w:val="00DA4221"/>
    <w:rsid w:val="00DA42C1"/>
    <w:rsid w:val="00DA454D"/>
    <w:rsid w:val="00DA4609"/>
    <w:rsid w:val="00DA47A3"/>
    <w:rsid w:val="00DA4A56"/>
    <w:rsid w:val="00DA4DA8"/>
    <w:rsid w:val="00DA51E4"/>
    <w:rsid w:val="00DA53A2"/>
    <w:rsid w:val="00DA5753"/>
    <w:rsid w:val="00DA57E1"/>
    <w:rsid w:val="00DA5C86"/>
    <w:rsid w:val="00DA5EC2"/>
    <w:rsid w:val="00DA5FF0"/>
    <w:rsid w:val="00DA66F0"/>
    <w:rsid w:val="00DA67B8"/>
    <w:rsid w:val="00DA6866"/>
    <w:rsid w:val="00DA72CD"/>
    <w:rsid w:val="00DA73BE"/>
    <w:rsid w:val="00DA74C2"/>
    <w:rsid w:val="00DA78E8"/>
    <w:rsid w:val="00DB0062"/>
    <w:rsid w:val="00DB06FB"/>
    <w:rsid w:val="00DB071D"/>
    <w:rsid w:val="00DB0A59"/>
    <w:rsid w:val="00DB0AB7"/>
    <w:rsid w:val="00DB0AC2"/>
    <w:rsid w:val="00DB0ADB"/>
    <w:rsid w:val="00DB0F14"/>
    <w:rsid w:val="00DB0FBC"/>
    <w:rsid w:val="00DB13FE"/>
    <w:rsid w:val="00DB16FF"/>
    <w:rsid w:val="00DB17A8"/>
    <w:rsid w:val="00DB1A8B"/>
    <w:rsid w:val="00DB1BDE"/>
    <w:rsid w:val="00DB1C69"/>
    <w:rsid w:val="00DB20AD"/>
    <w:rsid w:val="00DB20F2"/>
    <w:rsid w:val="00DB284C"/>
    <w:rsid w:val="00DB2A83"/>
    <w:rsid w:val="00DB2BE8"/>
    <w:rsid w:val="00DB30EC"/>
    <w:rsid w:val="00DB3374"/>
    <w:rsid w:val="00DB33AC"/>
    <w:rsid w:val="00DB3414"/>
    <w:rsid w:val="00DB3469"/>
    <w:rsid w:val="00DB349A"/>
    <w:rsid w:val="00DB3685"/>
    <w:rsid w:val="00DB37FB"/>
    <w:rsid w:val="00DB3A7C"/>
    <w:rsid w:val="00DB3E12"/>
    <w:rsid w:val="00DB4031"/>
    <w:rsid w:val="00DB41AB"/>
    <w:rsid w:val="00DB420F"/>
    <w:rsid w:val="00DB48B9"/>
    <w:rsid w:val="00DB49E6"/>
    <w:rsid w:val="00DB4DDA"/>
    <w:rsid w:val="00DB5160"/>
    <w:rsid w:val="00DB544A"/>
    <w:rsid w:val="00DB5CD2"/>
    <w:rsid w:val="00DB5F79"/>
    <w:rsid w:val="00DB606F"/>
    <w:rsid w:val="00DB60E0"/>
    <w:rsid w:val="00DB6320"/>
    <w:rsid w:val="00DB6488"/>
    <w:rsid w:val="00DB6542"/>
    <w:rsid w:val="00DB674D"/>
    <w:rsid w:val="00DB68D3"/>
    <w:rsid w:val="00DB68DB"/>
    <w:rsid w:val="00DB69DA"/>
    <w:rsid w:val="00DB6CED"/>
    <w:rsid w:val="00DB6EB5"/>
    <w:rsid w:val="00DB6FDE"/>
    <w:rsid w:val="00DB7807"/>
    <w:rsid w:val="00DB79F8"/>
    <w:rsid w:val="00DB7CA5"/>
    <w:rsid w:val="00DB7E18"/>
    <w:rsid w:val="00DB7E53"/>
    <w:rsid w:val="00DB7F26"/>
    <w:rsid w:val="00DC0309"/>
    <w:rsid w:val="00DC0973"/>
    <w:rsid w:val="00DC09FF"/>
    <w:rsid w:val="00DC0D42"/>
    <w:rsid w:val="00DC1673"/>
    <w:rsid w:val="00DC1994"/>
    <w:rsid w:val="00DC1EDD"/>
    <w:rsid w:val="00DC2472"/>
    <w:rsid w:val="00DC24B1"/>
    <w:rsid w:val="00DC24F2"/>
    <w:rsid w:val="00DC269D"/>
    <w:rsid w:val="00DC27A1"/>
    <w:rsid w:val="00DC2C32"/>
    <w:rsid w:val="00DC3730"/>
    <w:rsid w:val="00DC39BE"/>
    <w:rsid w:val="00DC3A56"/>
    <w:rsid w:val="00DC42AC"/>
    <w:rsid w:val="00DC4666"/>
    <w:rsid w:val="00DC4870"/>
    <w:rsid w:val="00DC4A93"/>
    <w:rsid w:val="00DC4B44"/>
    <w:rsid w:val="00DC4C6D"/>
    <w:rsid w:val="00DC4E3B"/>
    <w:rsid w:val="00DC4E3D"/>
    <w:rsid w:val="00DC5489"/>
    <w:rsid w:val="00DC54C3"/>
    <w:rsid w:val="00DC54FC"/>
    <w:rsid w:val="00DC56E2"/>
    <w:rsid w:val="00DC56EF"/>
    <w:rsid w:val="00DC5945"/>
    <w:rsid w:val="00DC597C"/>
    <w:rsid w:val="00DC5A7E"/>
    <w:rsid w:val="00DC5A86"/>
    <w:rsid w:val="00DC5B8B"/>
    <w:rsid w:val="00DC62D7"/>
    <w:rsid w:val="00DC679E"/>
    <w:rsid w:val="00DC68E7"/>
    <w:rsid w:val="00DC6CC6"/>
    <w:rsid w:val="00DC6FE3"/>
    <w:rsid w:val="00DC71F8"/>
    <w:rsid w:val="00DC72EF"/>
    <w:rsid w:val="00DC7395"/>
    <w:rsid w:val="00DC7420"/>
    <w:rsid w:val="00DC74B1"/>
    <w:rsid w:val="00DC7653"/>
    <w:rsid w:val="00DC770E"/>
    <w:rsid w:val="00DC7860"/>
    <w:rsid w:val="00DC7CAE"/>
    <w:rsid w:val="00DC7E50"/>
    <w:rsid w:val="00DC7F33"/>
    <w:rsid w:val="00DD0523"/>
    <w:rsid w:val="00DD089E"/>
    <w:rsid w:val="00DD0CB9"/>
    <w:rsid w:val="00DD1415"/>
    <w:rsid w:val="00DD1613"/>
    <w:rsid w:val="00DD168C"/>
    <w:rsid w:val="00DD1B2E"/>
    <w:rsid w:val="00DD1C57"/>
    <w:rsid w:val="00DD1CBC"/>
    <w:rsid w:val="00DD242E"/>
    <w:rsid w:val="00DD26B7"/>
    <w:rsid w:val="00DD26CB"/>
    <w:rsid w:val="00DD2A61"/>
    <w:rsid w:val="00DD2AB9"/>
    <w:rsid w:val="00DD2CB7"/>
    <w:rsid w:val="00DD2F5B"/>
    <w:rsid w:val="00DD3069"/>
    <w:rsid w:val="00DD30AD"/>
    <w:rsid w:val="00DD31D1"/>
    <w:rsid w:val="00DD3B39"/>
    <w:rsid w:val="00DD3D6E"/>
    <w:rsid w:val="00DD3D97"/>
    <w:rsid w:val="00DD41E4"/>
    <w:rsid w:val="00DD428B"/>
    <w:rsid w:val="00DD479B"/>
    <w:rsid w:val="00DD482F"/>
    <w:rsid w:val="00DD4A47"/>
    <w:rsid w:val="00DD4AD8"/>
    <w:rsid w:val="00DD4AE7"/>
    <w:rsid w:val="00DD4CD5"/>
    <w:rsid w:val="00DD50AC"/>
    <w:rsid w:val="00DD5D52"/>
    <w:rsid w:val="00DD5D7C"/>
    <w:rsid w:val="00DD5F3E"/>
    <w:rsid w:val="00DD60DC"/>
    <w:rsid w:val="00DD6223"/>
    <w:rsid w:val="00DD622F"/>
    <w:rsid w:val="00DD63D7"/>
    <w:rsid w:val="00DD67CD"/>
    <w:rsid w:val="00DD67DA"/>
    <w:rsid w:val="00DD68BF"/>
    <w:rsid w:val="00DD69CA"/>
    <w:rsid w:val="00DD69F1"/>
    <w:rsid w:val="00DD6A55"/>
    <w:rsid w:val="00DD6B25"/>
    <w:rsid w:val="00DD6C8C"/>
    <w:rsid w:val="00DD6C93"/>
    <w:rsid w:val="00DD79FA"/>
    <w:rsid w:val="00DD7A28"/>
    <w:rsid w:val="00DD7B07"/>
    <w:rsid w:val="00DD7F9C"/>
    <w:rsid w:val="00DE01ED"/>
    <w:rsid w:val="00DE0856"/>
    <w:rsid w:val="00DE0EAE"/>
    <w:rsid w:val="00DE105A"/>
    <w:rsid w:val="00DE13C9"/>
    <w:rsid w:val="00DE1764"/>
    <w:rsid w:val="00DE1CBB"/>
    <w:rsid w:val="00DE1D7D"/>
    <w:rsid w:val="00DE1E87"/>
    <w:rsid w:val="00DE1ED0"/>
    <w:rsid w:val="00DE216A"/>
    <w:rsid w:val="00DE217C"/>
    <w:rsid w:val="00DE2686"/>
    <w:rsid w:val="00DE2B95"/>
    <w:rsid w:val="00DE2C16"/>
    <w:rsid w:val="00DE3373"/>
    <w:rsid w:val="00DE392E"/>
    <w:rsid w:val="00DE3D2B"/>
    <w:rsid w:val="00DE3E11"/>
    <w:rsid w:val="00DE45FD"/>
    <w:rsid w:val="00DE49B8"/>
    <w:rsid w:val="00DE4A4F"/>
    <w:rsid w:val="00DE4BD6"/>
    <w:rsid w:val="00DE4CAA"/>
    <w:rsid w:val="00DE4E69"/>
    <w:rsid w:val="00DE4EFE"/>
    <w:rsid w:val="00DE4FB3"/>
    <w:rsid w:val="00DE5040"/>
    <w:rsid w:val="00DE545B"/>
    <w:rsid w:val="00DE5964"/>
    <w:rsid w:val="00DE5A1F"/>
    <w:rsid w:val="00DE5C0E"/>
    <w:rsid w:val="00DE5C34"/>
    <w:rsid w:val="00DE5CEB"/>
    <w:rsid w:val="00DE5DC6"/>
    <w:rsid w:val="00DE5E1F"/>
    <w:rsid w:val="00DE6090"/>
    <w:rsid w:val="00DE6368"/>
    <w:rsid w:val="00DE6AF8"/>
    <w:rsid w:val="00DE7231"/>
    <w:rsid w:val="00DE73B2"/>
    <w:rsid w:val="00DE798E"/>
    <w:rsid w:val="00DE7E3F"/>
    <w:rsid w:val="00DE7EB9"/>
    <w:rsid w:val="00DF010F"/>
    <w:rsid w:val="00DF0AF9"/>
    <w:rsid w:val="00DF0AFF"/>
    <w:rsid w:val="00DF0E80"/>
    <w:rsid w:val="00DF0FB9"/>
    <w:rsid w:val="00DF138E"/>
    <w:rsid w:val="00DF18A1"/>
    <w:rsid w:val="00DF1950"/>
    <w:rsid w:val="00DF1F9E"/>
    <w:rsid w:val="00DF23DF"/>
    <w:rsid w:val="00DF305B"/>
    <w:rsid w:val="00DF305E"/>
    <w:rsid w:val="00DF3064"/>
    <w:rsid w:val="00DF3723"/>
    <w:rsid w:val="00DF377C"/>
    <w:rsid w:val="00DF38A6"/>
    <w:rsid w:val="00DF4062"/>
    <w:rsid w:val="00DF4434"/>
    <w:rsid w:val="00DF4492"/>
    <w:rsid w:val="00DF44A4"/>
    <w:rsid w:val="00DF4561"/>
    <w:rsid w:val="00DF47E7"/>
    <w:rsid w:val="00DF4C78"/>
    <w:rsid w:val="00DF50B9"/>
    <w:rsid w:val="00DF533C"/>
    <w:rsid w:val="00DF5AF9"/>
    <w:rsid w:val="00DF5AFE"/>
    <w:rsid w:val="00DF6215"/>
    <w:rsid w:val="00DF625C"/>
    <w:rsid w:val="00DF69F0"/>
    <w:rsid w:val="00DF6B6C"/>
    <w:rsid w:val="00DF6B92"/>
    <w:rsid w:val="00DF7118"/>
    <w:rsid w:val="00DF72B7"/>
    <w:rsid w:val="00DF73C0"/>
    <w:rsid w:val="00DF7588"/>
    <w:rsid w:val="00DF7965"/>
    <w:rsid w:val="00DF7AB8"/>
    <w:rsid w:val="00DF7BF6"/>
    <w:rsid w:val="00E0010F"/>
    <w:rsid w:val="00E003D4"/>
    <w:rsid w:val="00E00829"/>
    <w:rsid w:val="00E00977"/>
    <w:rsid w:val="00E00B6A"/>
    <w:rsid w:val="00E00D21"/>
    <w:rsid w:val="00E00E33"/>
    <w:rsid w:val="00E012A9"/>
    <w:rsid w:val="00E01334"/>
    <w:rsid w:val="00E01B82"/>
    <w:rsid w:val="00E01D09"/>
    <w:rsid w:val="00E01DC2"/>
    <w:rsid w:val="00E026AF"/>
    <w:rsid w:val="00E0286F"/>
    <w:rsid w:val="00E02A88"/>
    <w:rsid w:val="00E02B2F"/>
    <w:rsid w:val="00E02D91"/>
    <w:rsid w:val="00E02F25"/>
    <w:rsid w:val="00E02F93"/>
    <w:rsid w:val="00E03011"/>
    <w:rsid w:val="00E034EC"/>
    <w:rsid w:val="00E03657"/>
    <w:rsid w:val="00E03C22"/>
    <w:rsid w:val="00E03DC9"/>
    <w:rsid w:val="00E03F74"/>
    <w:rsid w:val="00E0435E"/>
    <w:rsid w:val="00E04535"/>
    <w:rsid w:val="00E04716"/>
    <w:rsid w:val="00E048DF"/>
    <w:rsid w:val="00E04946"/>
    <w:rsid w:val="00E04F1B"/>
    <w:rsid w:val="00E04F4F"/>
    <w:rsid w:val="00E052C8"/>
    <w:rsid w:val="00E05751"/>
    <w:rsid w:val="00E0578F"/>
    <w:rsid w:val="00E058F0"/>
    <w:rsid w:val="00E05BC9"/>
    <w:rsid w:val="00E05CF9"/>
    <w:rsid w:val="00E06034"/>
    <w:rsid w:val="00E065FA"/>
    <w:rsid w:val="00E067BB"/>
    <w:rsid w:val="00E067DA"/>
    <w:rsid w:val="00E06B38"/>
    <w:rsid w:val="00E06C79"/>
    <w:rsid w:val="00E06DED"/>
    <w:rsid w:val="00E0719F"/>
    <w:rsid w:val="00E074F9"/>
    <w:rsid w:val="00E076B7"/>
    <w:rsid w:val="00E076DC"/>
    <w:rsid w:val="00E07DAA"/>
    <w:rsid w:val="00E10013"/>
    <w:rsid w:val="00E10179"/>
    <w:rsid w:val="00E10316"/>
    <w:rsid w:val="00E103AB"/>
    <w:rsid w:val="00E1074D"/>
    <w:rsid w:val="00E10BBE"/>
    <w:rsid w:val="00E10FB8"/>
    <w:rsid w:val="00E11050"/>
    <w:rsid w:val="00E1107E"/>
    <w:rsid w:val="00E111B1"/>
    <w:rsid w:val="00E118A4"/>
    <w:rsid w:val="00E1193B"/>
    <w:rsid w:val="00E11CD4"/>
    <w:rsid w:val="00E11EA1"/>
    <w:rsid w:val="00E121D1"/>
    <w:rsid w:val="00E12297"/>
    <w:rsid w:val="00E124A6"/>
    <w:rsid w:val="00E124DC"/>
    <w:rsid w:val="00E1259E"/>
    <w:rsid w:val="00E12ADD"/>
    <w:rsid w:val="00E12BAC"/>
    <w:rsid w:val="00E12BC6"/>
    <w:rsid w:val="00E12DAF"/>
    <w:rsid w:val="00E12E46"/>
    <w:rsid w:val="00E12F2C"/>
    <w:rsid w:val="00E13068"/>
    <w:rsid w:val="00E131A4"/>
    <w:rsid w:val="00E1329E"/>
    <w:rsid w:val="00E13914"/>
    <w:rsid w:val="00E13A67"/>
    <w:rsid w:val="00E13B54"/>
    <w:rsid w:val="00E13CCC"/>
    <w:rsid w:val="00E14639"/>
    <w:rsid w:val="00E1464C"/>
    <w:rsid w:val="00E14704"/>
    <w:rsid w:val="00E1475F"/>
    <w:rsid w:val="00E1477D"/>
    <w:rsid w:val="00E148EB"/>
    <w:rsid w:val="00E14936"/>
    <w:rsid w:val="00E14D96"/>
    <w:rsid w:val="00E14DEF"/>
    <w:rsid w:val="00E14E5D"/>
    <w:rsid w:val="00E153C8"/>
    <w:rsid w:val="00E15467"/>
    <w:rsid w:val="00E15474"/>
    <w:rsid w:val="00E15485"/>
    <w:rsid w:val="00E15D1A"/>
    <w:rsid w:val="00E15DFF"/>
    <w:rsid w:val="00E15EEE"/>
    <w:rsid w:val="00E15F91"/>
    <w:rsid w:val="00E1615D"/>
    <w:rsid w:val="00E16491"/>
    <w:rsid w:val="00E164D1"/>
    <w:rsid w:val="00E16CF5"/>
    <w:rsid w:val="00E17769"/>
    <w:rsid w:val="00E2006C"/>
    <w:rsid w:val="00E200E8"/>
    <w:rsid w:val="00E20121"/>
    <w:rsid w:val="00E201E7"/>
    <w:rsid w:val="00E20914"/>
    <w:rsid w:val="00E20A06"/>
    <w:rsid w:val="00E20B79"/>
    <w:rsid w:val="00E20F8B"/>
    <w:rsid w:val="00E20FD8"/>
    <w:rsid w:val="00E210AC"/>
    <w:rsid w:val="00E21111"/>
    <w:rsid w:val="00E21477"/>
    <w:rsid w:val="00E219C3"/>
    <w:rsid w:val="00E21CB5"/>
    <w:rsid w:val="00E21DE9"/>
    <w:rsid w:val="00E221F7"/>
    <w:rsid w:val="00E224C0"/>
    <w:rsid w:val="00E2262F"/>
    <w:rsid w:val="00E22E45"/>
    <w:rsid w:val="00E2312D"/>
    <w:rsid w:val="00E2338A"/>
    <w:rsid w:val="00E23718"/>
    <w:rsid w:val="00E23750"/>
    <w:rsid w:val="00E2378F"/>
    <w:rsid w:val="00E23800"/>
    <w:rsid w:val="00E23878"/>
    <w:rsid w:val="00E23984"/>
    <w:rsid w:val="00E23A08"/>
    <w:rsid w:val="00E23DD8"/>
    <w:rsid w:val="00E2413E"/>
    <w:rsid w:val="00E242F6"/>
    <w:rsid w:val="00E243A1"/>
    <w:rsid w:val="00E2445D"/>
    <w:rsid w:val="00E244EA"/>
    <w:rsid w:val="00E2452F"/>
    <w:rsid w:val="00E248D1"/>
    <w:rsid w:val="00E253F5"/>
    <w:rsid w:val="00E25761"/>
    <w:rsid w:val="00E25919"/>
    <w:rsid w:val="00E25AA9"/>
    <w:rsid w:val="00E25C14"/>
    <w:rsid w:val="00E25EFB"/>
    <w:rsid w:val="00E2606D"/>
    <w:rsid w:val="00E265D2"/>
    <w:rsid w:val="00E26D6D"/>
    <w:rsid w:val="00E26E62"/>
    <w:rsid w:val="00E26EEF"/>
    <w:rsid w:val="00E26F64"/>
    <w:rsid w:val="00E26FA7"/>
    <w:rsid w:val="00E270E8"/>
    <w:rsid w:val="00E27153"/>
    <w:rsid w:val="00E2733D"/>
    <w:rsid w:val="00E2738A"/>
    <w:rsid w:val="00E2741A"/>
    <w:rsid w:val="00E27A42"/>
    <w:rsid w:val="00E27B3A"/>
    <w:rsid w:val="00E27C98"/>
    <w:rsid w:val="00E27CA6"/>
    <w:rsid w:val="00E27E10"/>
    <w:rsid w:val="00E27E8A"/>
    <w:rsid w:val="00E27FBE"/>
    <w:rsid w:val="00E3021A"/>
    <w:rsid w:val="00E30262"/>
    <w:rsid w:val="00E30415"/>
    <w:rsid w:val="00E30423"/>
    <w:rsid w:val="00E30595"/>
    <w:rsid w:val="00E308F6"/>
    <w:rsid w:val="00E30DEF"/>
    <w:rsid w:val="00E31025"/>
    <w:rsid w:val="00E3114A"/>
    <w:rsid w:val="00E311A9"/>
    <w:rsid w:val="00E31369"/>
    <w:rsid w:val="00E3138A"/>
    <w:rsid w:val="00E31686"/>
    <w:rsid w:val="00E3186A"/>
    <w:rsid w:val="00E3191A"/>
    <w:rsid w:val="00E31A2A"/>
    <w:rsid w:val="00E31A92"/>
    <w:rsid w:val="00E31B3F"/>
    <w:rsid w:val="00E31D48"/>
    <w:rsid w:val="00E31FE5"/>
    <w:rsid w:val="00E32093"/>
    <w:rsid w:val="00E322FA"/>
    <w:rsid w:val="00E32503"/>
    <w:rsid w:val="00E32AEF"/>
    <w:rsid w:val="00E32C66"/>
    <w:rsid w:val="00E33213"/>
    <w:rsid w:val="00E335E0"/>
    <w:rsid w:val="00E3381C"/>
    <w:rsid w:val="00E33934"/>
    <w:rsid w:val="00E33A12"/>
    <w:rsid w:val="00E33D69"/>
    <w:rsid w:val="00E34510"/>
    <w:rsid w:val="00E346C3"/>
    <w:rsid w:val="00E348B0"/>
    <w:rsid w:val="00E34D67"/>
    <w:rsid w:val="00E34E6E"/>
    <w:rsid w:val="00E352A7"/>
    <w:rsid w:val="00E353D2"/>
    <w:rsid w:val="00E35530"/>
    <w:rsid w:val="00E355C2"/>
    <w:rsid w:val="00E359E0"/>
    <w:rsid w:val="00E35D05"/>
    <w:rsid w:val="00E35E3B"/>
    <w:rsid w:val="00E3618E"/>
    <w:rsid w:val="00E36263"/>
    <w:rsid w:val="00E362BC"/>
    <w:rsid w:val="00E36574"/>
    <w:rsid w:val="00E36699"/>
    <w:rsid w:val="00E366CC"/>
    <w:rsid w:val="00E36723"/>
    <w:rsid w:val="00E367E4"/>
    <w:rsid w:val="00E3682E"/>
    <w:rsid w:val="00E36E35"/>
    <w:rsid w:val="00E36F8C"/>
    <w:rsid w:val="00E3726D"/>
    <w:rsid w:val="00E372C1"/>
    <w:rsid w:val="00E373E3"/>
    <w:rsid w:val="00E373FA"/>
    <w:rsid w:val="00E374C2"/>
    <w:rsid w:val="00E3766C"/>
    <w:rsid w:val="00E3766D"/>
    <w:rsid w:val="00E37B5C"/>
    <w:rsid w:val="00E37E21"/>
    <w:rsid w:val="00E37FB7"/>
    <w:rsid w:val="00E40260"/>
    <w:rsid w:val="00E40435"/>
    <w:rsid w:val="00E4044C"/>
    <w:rsid w:val="00E406C4"/>
    <w:rsid w:val="00E414D9"/>
    <w:rsid w:val="00E427AD"/>
    <w:rsid w:val="00E42AF1"/>
    <w:rsid w:val="00E42C00"/>
    <w:rsid w:val="00E42D8D"/>
    <w:rsid w:val="00E42DA8"/>
    <w:rsid w:val="00E43019"/>
    <w:rsid w:val="00E4306F"/>
    <w:rsid w:val="00E43F7D"/>
    <w:rsid w:val="00E43FB2"/>
    <w:rsid w:val="00E442C8"/>
    <w:rsid w:val="00E4436C"/>
    <w:rsid w:val="00E443A1"/>
    <w:rsid w:val="00E44439"/>
    <w:rsid w:val="00E445A5"/>
    <w:rsid w:val="00E44780"/>
    <w:rsid w:val="00E44DFD"/>
    <w:rsid w:val="00E44E68"/>
    <w:rsid w:val="00E44EAA"/>
    <w:rsid w:val="00E44F1B"/>
    <w:rsid w:val="00E45AC4"/>
    <w:rsid w:val="00E45B2A"/>
    <w:rsid w:val="00E45CD0"/>
    <w:rsid w:val="00E45DBA"/>
    <w:rsid w:val="00E46670"/>
    <w:rsid w:val="00E467D8"/>
    <w:rsid w:val="00E46809"/>
    <w:rsid w:val="00E468BA"/>
    <w:rsid w:val="00E46925"/>
    <w:rsid w:val="00E46D68"/>
    <w:rsid w:val="00E46DBE"/>
    <w:rsid w:val="00E46ECF"/>
    <w:rsid w:val="00E47292"/>
    <w:rsid w:val="00E4773D"/>
    <w:rsid w:val="00E4775E"/>
    <w:rsid w:val="00E47848"/>
    <w:rsid w:val="00E4786E"/>
    <w:rsid w:val="00E47BDF"/>
    <w:rsid w:val="00E47FBF"/>
    <w:rsid w:val="00E5015B"/>
    <w:rsid w:val="00E50AC0"/>
    <w:rsid w:val="00E50E31"/>
    <w:rsid w:val="00E516FD"/>
    <w:rsid w:val="00E51A6A"/>
    <w:rsid w:val="00E51F35"/>
    <w:rsid w:val="00E52114"/>
    <w:rsid w:val="00E521C5"/>
    <w:rsid w:val="00E5221C"/>
    <w:rsid w:val="00E525B6"/>
    <w:rsid w:val="00E52AFA"/>
    <w:rsid w:val="00E52B16"/>
    <w:rsid w:val="00E52C73"/>
    <w:rsid w:val="00E52D7A"/>
    <w:rsid w:val="00E52DDB"/>
    <w:rsid w:val="00E52EEB"/>
    <w:rsid w:val="00E53216"/>
    <w:rsid w:val="00E5342D"/>
    <w:rsid w:val="00E536AC"/>
    <w:rsid w:val="00E53771"/>
    <w:rsid w:val="00E53950"/>
    <w:rsid w:val="00E53D61"/>
    <w:rsid w:val="00E53E18"/>
    <w:rsid w:val="00E53F06"/>
    <w:rsid w:val="00E540DB"/>
    <w:rsid w:val="00E5430E"/>
    <w:rsid w:val="00E54450"/>
    <w:rsid w:val="00E5459A"/>
    <w:rsid w:val="00E54633"/>
    <w:rsid w:val="00E5486B"/>
    <w:rsid w:val="00E54E23"/>
    <w:rsid w:val="00E54FB1"/>
    <w:rsid w:val="00E5506B"/>
    <w:rsid w:val="00E55159"/>
    <w:rsid w:val="00E55659"/>
    <w:rsid w:val="00E557FB"/>
    <w:rsid w:val="00E55BC7"/>
    <w:rsid w:val="00E55C61"/>
    <w:rsid w:val="00E56083"/>
    <w:rsid w:val="00E566E8"/>
    <w:rsid w:val="00E56B27"/>
    <w:rsid w:val="00E57100"/>
    <w:rsid w:val="00E57284"/>
    <w:rsid w:val="00E573A6"/>
    <w:rsid w:val="00E57528"/>
    <w:rsid w:val="00E57585"/>
    <w:rsid w:val="00E57593"/>
    <w:rsid w:val="00E575CB"/>
    <w:rsid w:val="00E577B7"/>
    <w:rsid w:val="00E577F6"/>
    <w:rsid w:val="00E5788D"/>
    <w:rsid w:val="00E57990"/>
    <w:rsid w:val="00E57B7D"/>
    <w:rsid w:val="00E57E57"/>
    <w:rsid w:val="00E60600"/>
    <w:rsid w:val="00E60619"/>
    <w:rsid w:val="00E60697"/>
    <w:rsid w:val="00E6071C"/>
    <w:rsid w:val="00E60A0A"/>
    <w:rsid w:val="00E60A74"/>
    <w:rsid w:val="00E60D77"/>
    <w:rsid w:val="00E60E6F"/>
    <w:rsid w:val="00E60EB6"/>
    <w:rsid w:val="00E60EE3"/>
    <w:rsid w:val="00E610A6"/>
    <w:rsid w:val="00E611CB"/>
    <w:rsid w:val="00E611CE"/>
    <w:rsid w:val="00E61704"/>
    <w:rsid w:val="00E618F4"/>
    <w:rsid w:val="00E61A86"/>
    <w:rsid w:val="00E61AA9"/>
    <w:rsid w:val="00E61AAE"/>
    <w:rsid w:val="00E61C86"/>
    <w:rsid w:val="00E61D08"/>
    <w:rsid w:val="00E61D5F"/>
    <w:rsid w:val="00E61EDF"/>
    <w:rsid w:val="00E61F1C"/>
    <w:rsid w:val="00E620E2"/>
    <w:rsid w:val="00E62121"/>
    <w:rsid w:val="00E6227A"/>
    <w:rsid w:val="00E6231F"/>
    <w:rsid w:val="00E623F7"/>
    <w:rsid w:val="00E625FD"/>
    <w:rsid w:val="00E626CC"/>
    <w:rsid w:val="00E62800"/>
    <w:rsid w:val="00E62C1E"/>
    <w:rsid w:val="00E62E94"/>
    <w:rsid w:val="00E63021"/>
    <w:rsid w:val="00E63241"/>
    <w:rsid w:val="00E634A5"/>
    <w:rsid w:val="00E63A67"/>
    <w:rsid w:val="00E64087"/>
    <w:rsid w:val="00E640A5"/>
    <w:rsid w:val="00E6414D"/>
    <w:rsid w:val="00E641AC"/>
    <w:rsid w:val="00E642E0"/>
    <w:rsid w:val="00E64325"/>
    <w:rsid w:val="00E643D0"/>
    <w:rsid w:val="00E64523"/>
    <w:rsid w:val="00E64795"/>
    <w:rsid w:val="00E64957"/>
    <w:rsid w:val="00E64AEA"/>
    <w:rsid w:val="00E64B39"/>
    <w:rsid w:val="00E64B44"/>
    <w:rsid w:val="00E64E20"/>
    <w:rsid w:val="00E65121"/>
    <w:rsid w:val="00E65296"/>
    <w:rsid w:val="00E65508"/>
    <w:rsid w:val="00E6584F"/>
    <w:rsid w:val="00E65A50"/>
    <w:rsid w:val="00E65AF0"/>
    <w:rsid w:val="00E65BB6"/>
    <w:rsid w:val="00E65E53"/>
    <w:rsid w:val="00E661C9"/>
    <w:rsid w:val="00E66699"/>
    <w:rsid w:val="00E66842"/>
    <w:rsid w:val="00E66BE6"/>
    <w:rsid w:val="00E66C4A"/>
    <w:rsid w:val="00E66FF1"/>
    <w:rsid w:val="00E6748A"/>
    <w:rsid w:val="00E678BB"/>
    <w:rsid w:val="00E679BB"/>
    <w:rsid w:val="00E67DA4"/>
    <w:rsid w:val="00E67EF8"/>
    <w:rsid w:val="00E67FC5"/>
    <w:rsid w:val="00E70448"/>
    <w:rsid w:val="00E70A5F"/>
    <w:rsid w:val="00E70BEC"/>
    <w:rsid w:val="00E7149F"/>
    <w:rsid w:val="00E714C3"/>
    <w:rsid w:val="00E715CA"/>
    <w:rsid w:val="00E7167E"/>
    <w:rsid w:val="00E71D55"/>
    <w:rsid w:val="00E71E66"/>
    <w:rsid w:val="00E71F59"/>
    <w:rsid w:val="00E725A1"/>
    <w:rsid w:val="00E72B2C"/>
    <w:rsid w:val="00E72B66"/>
    <w:rsid w:val="00E72BD0"/>
    <w:rsid w:val="00E72F72"/>
    <w:rsid w:val="00E73058"/>
    <w:rsid w:val="00E732F7"/>
    <w:rsid w:val="00E733A4"/>
    <w:rsid w:val="00E73411"/>
    <w:rsid w:val="00E737E1"/>
    <w:rsid w:val="00E73968"/>
    <w:rsid w:val="00E73B6E"/>
    <w:rsid w:val="00E73BCB"/>
    <w:rsid w:val="00E73F5C"/>
    <w:rsid w:val="00E741E2"/>
    <w:rsid w:val="00E742B9"/>
    <w:rsid w:val="00E7439B"/>
    <w:rsid w:val="00E743E9"/>
    <w:rsid w:val="00E743F5"/>
    <w:rsid w:val="00E74558"/>
    <w:rsid w:val="00E7464D"/>
    <w:rsid w:val="00E74943"/>
    <w:rsid w:val="00E74B14"/>
    <w:rsid w:val="00E75121"/>
    <w:rsid w:val="00E75255"/>
    <w:rsid w:val="00E75325"/>
    <w:rsid w:val="00E753F5"/>
    <w:rsid w:val="00E7552B"/>
    <w:rsid w:val="00E756CA"/>
    <w:rsid w:val="00E759F5"/>
    <w:rsid w:val="00E75CFD"/>
    <w:rsid w:val="00E75D98"/>
    <w:rsid w:val="00E761C6"/>
    <w:rsid w:val="00E76704"/>
    <w:rsid w:val="00E76D8C"/>
    <w:rsid w:val="00E774E9"/>
    <w:rsid w:val="00E77588"/>
    <w:rsid w:val="00E7772B"/>
    <w:rsid w:val="00E7791D"/>
    <w:rsid w:val="00E7792D"/>
    <w:rsid w:val="00E77A2C"/>
    <w:rsid w:val="00E80A70"/>
    <w:rsid w:val="00E80AA0"/>
    <w:rsid w:val="00E80C0B"/>
    <w:rsid w:val="00E80E55"/>
    <w:rsid w:val="00E8112E"/>
    <w:rsid w:val="00E8149F"/>
    <w:rsid w:val="00E81AC0"/>
    <w:rsid w:val="00E81BDA"/>
    <w:rsid w:val="00E81C73"/>
    <w:rsid w:val="00E81DFF"/>
    <w:rsid w:val="00E81F39"/>
    <w:rsid w:val="00E82168"/>
    <w:rsid w:val="00E821DA"/>
    <w:rsid w:val="00E82245"/>
    <w:rsid w:val="00E822BB"/>
    <w:rsid w:val="00E8255E"/>
    <w:rsid w:val="00E828B7"/>
    <w:rsid w:val="00E82AAB"/>
    <w:rsid w:val="00E82B60"/>
    <w:rsid w:val="00E82EAF"/>
    <w:rsid w:val="00E8335D"/>
    <w:rsid w:val="00E837E7"/>
    <w:rsid w:val="00E837EF"/>
    <w:rsid w:val="00E83ED8"/>
    <w:rsid w:val="00E8415C"/>
    <w:rsid w:val="00E8485B"/>
    <w:rsid w:val="00E848B7"/>
    <w:rsid w:val="00E84D12"/>
    <w:rsid w:val="00E84ED8"/>
    <w:rsid w:val="00E84FCA"/>
    <w:rsid w:val="00E852A9"/>
    <w:rsid w:val="00E8575B"/>
    <w:rsid w:val="00E85D5D"/>
    <w:rsid w:val="00E85FF8"/>
    <w:rsid w:val="00E860F6"/>
    <w:rsid w:val="00E861D5"/>
    <w:rsid w:val="00E863EC"/>
    <w:rsid w:val="00E864FE"/>
    <w:rsid w:val="00E86A2F"/>
    <w:rsid w:val="00E87231"/>
    <w:rsid w:val="00E877C4"/>
    <w:rsid w:val="00E87A26"/>
    <w:rsid w:val="00E87D91"/>
    <w:rsid w:val="00E902FB"/>
    <w:rsid w:val="00E9034D"/>
    <w:rsid w:val="00E90A65"/>
    <w:rsid w:val="00E90FE4"/>
    <w:rsid w:val="00E910B4"/>
    <w:rsid w:val="00E91197"/>
    <w:rsid w:val="00E911ED"/>
    <w:rsid w:val="00E91472"/>
    <w:rsid w:val="00E9159B"/>
    <w:rsid w:val="00E91723"/>
    <w:rsid w:val="00E9196C"/>
    <w:rsid w:val="00E91DB0"/>
    <w:rsid w:val="00E9215D"/>
    <w:rsid w:val="00E921CA"/>
    <w:rsid w:val="00E9263D"/>
    <w:rsid w:val="00E92EBC"/>
    <w:rsid w:val="00E93442"/>
    <w:rsid w:val="00E93783"/>
    <w:rsid w:val="00E93DA3"/>
    <w:rsid w:val="00E93F92"/>
    <w:rsid w:val="00E941D8"/>
    <w:rsid w:val="00E94292"/>
    <w:rsid w:val="00E942A7"/>
    <w:rsid w:val="00E94527"/>
    <w:rsid w:val="00E94562"/>
    <w:rsid w:val="00E946EE"/>
    <w:rsid w:val="00E948A0"/>
    <w:rsid w:val="00E948F4"/>
    <w:rsid w:val="00E94E8B"/>
    <w:rsid w:val="00E95140"/>
    <w:rsid w:val="00E95204"/>
    <w:rsid w:val="00E95242"/>
    <w:rsid w:val="00E95447"/>
    <w:rsid w:val="00E9555B"/>
    <w:rsid w:val="00E95DF1"/>
    <w:rsid w:val="00E9606A"/>
    <w:rsid w:val="00E9616A"/>
    <w:rsid w:val="00E961EE"/>
    <w:rsid w:val="00E962C8"/>
    <w:rsid w:val="00E96780"/>
    <w:rsid w:val="00E96A7B"/>
    <w:rsid w:val="00E96DE0"/>
    <w:rsid w:val="00E973BA"/>
    <w:rsid w:val="00E97A20"/>
    <w:rsid w:val="00E97C25"/>
    <w:rsid w:val="00E97CE4"/>
    <w:rsid w:val="00E97D9D"/>
    <w:rsid w:val="00EA0125"/>
    <w:rsid w:val="00EA03E2"/>
    <w:rsid w:val="00EA0550"/>
    <w:rsid w:val="00EA0613"/>
    <w:rsid w:val="00EA0955"/>
    <w:rsid w:val="00EA0971"/>
    <w:rsid w:val="00EA0997"/>
    <w:rsid w:val="00EA09A6"/>
    <w:rsid w:val="00EA0BB1"/>
    <w:rsid w:val="00EA0ED6"/>
    <w:rsid w:val="00EA0FE8"/>
    <w:rsid w:val="00EA0FFD"/>
    <w:rsid w:val="00EA11CF"/>
    <w:rsid w:val="00EA1790"/>
    <w:rsid w:val="00EA1833"/>
    <w:rsid w:val="00EA1C97"/>
    <w:rsid w:val="00EA22B3"/>
    <w:rsid w:val="00EA23C3"/>
    <w:rsid w:val="00EA3039"/>
    <w:rsid w:val="00EA308E"/>
    <w:rsid w:val="00EA30BC"/>
    <w:rsid w:val="00EA313B"/>
    <w:rsid w:val="00EA318C"/>
    <w:rsid w:val="00EA3437"/>
    <w:rsid w:val="00EA34DD"/>
    <w:rsid w:val="00EA353E"/>
    <w:rsid w:val="00EA39D9"/>
    <w:rsid w:val="00EA3D01"/>
    <w:rsid w:val="00EA3DE9"/>
    <w:rsid w:val="00EA4458"/>
    <w:rsid w:val="00EA44AD"/>
    <w:rsid w:val="00EA46E6"/>
    <w:rsid w:val="00EA47D6"/>
    <w:rsid w:val="00EA4AE8"/>
    <w:rsid w:val="00EA508F"/>
    <w:rsid w:val="00EA516C"/>
    <w:rsid w:val="00EA5195"/>
    <w:rsid w:val="00EA5308"/>
    <w:rsid w:val="00EA54CE"/>
    <w:rsid w:val="00EA5596"/>
    <w:rsid w:val="00EA56A9"/>
    <w:rsid w:val="00EA5A21"/>
    <w:rsid w:val="00EA5A4F"/>
    <w:rsid w:val="00EA5AB0"/>
    <w:rsid w:val="00EA602E"/>
    <w:rsid w:val="00EA6277"/>
    <w:rsid w:val="00EA64E1"/>
    <w:rsid w:val="00EA6510"/>
    <w:rsid w:val="00EA65E3"/>
    <w:rsid w:val="00EA6D15"/>
    <w:rsid w:val="00EA6E99"/>
    <w:rsid w:val="00EA700C"/>
    <w:rsid w:val="00EA77B1"/>
    <w:rsid w:val="00EA7BA8"/>
    <w:rsid w:val="00EA7FFB"/>
    <w:rsid w:val="00EB03B4"/>
    <w:rsid w:val="00EB03DD"/>
    <w:rsid w:val="00EB06B7"/>
    <w:rsid w:val="00EB0BA5"/>
    <w:rsid w:val="00EB0E7E"/>
    <w:rsid w:val="00EB1316"/>
    <w:rsid w:val="00EB13EB"/>
    <w:rsid w:val="00EB153F"/>
    <w:rsid w:val="00EB16F3"/>
    <w:rsid w:val="00EB1944"/>
    <w:rsid w:val="00EB1A2E"/>
    <w:rsid w:val="00EB1D2F"/>
    <w:rsid w:val="00EB1DFC"/>
    <w:rsid w:val="00EB23CD"/>
    <w:rsid w:val="00EB268B"/>
    <w:rsid w:val="00EB290B"/>
    <w:rsid w:val="00EB2C50"/>
    <w:rsid w:val="00EB2DC1"/>
    <w:rsid w:val="00EB304F"/>
    <w:rsid w:val="00EB33A2"/>
    <w:rsid w:val="00EB3587"/>
    <w:rsid w:val="00EB380A"/>
    <w:rsid w:val="00EB3A15"/>
    <w:rsid w:val="00EB3CC2"/>
    <w:rsid w:val="00EB4676"/>
    <w:rsid w:val="00EB477E"/>
    <w:rsid w:val="00EB479D"/>
    <w:rsid w:val="00EB484A"/>
    <w:rsid w:val="00EB4A48"/>
    <w:rsid w:val="00EB4C73"/>
    <w:rsid w:val="00EB4F3A"/>
    <w:rsid w:val="00EB5111"/>
    <w:rsid w:val="00EB52E3"/>
    <w:rsid w:val="00EB571B"/>
    <w:rsid w:val="00EB5821"/>
    <w:rsid w:val="00EB58F8"/>
    <w:rsid w:val="00EB5ABA"/>
    <w:rsid w:val="00EB5AD1"/>
    <w:rsid w:val="00EB5AFD"/>
    <w:rsid w:val="00EB5D6C"/>
    <w:rsid w:val="00EB5FD4"/>
    <w:rsid w:val="00EB6156"/>
    <w:rsid w:val="00EB62A2"/>
    <w:rsid w:val="00EB63C2"/>
    <w:rsid w:val="00EB6799"/>
    <w:rsid w:val="00EB68A8"/>
    <w:rsid w:val="00EB692E"/>
    <w:rsid w:val="00EB7308"/>
    <w:rsid w:val="00EB7613"/>
    <w:rsid w:val="00EB7755"/>
    <w:rsid w:val="00EB7A37"/>
    <w:rsid w:val="00EB7FD8"/>
    <w:rsid w:val="00EC02A9"/>
    <w:rsid w:val="00EC03E9"/>
    <w:rsid w:val="00EC0829"/>
    <w:rsid w:val="00EC0951"/>
    <w:rsid w:val="00EC0B26"/>
    <w:rsid w:val="00EC10DE"/>
    <w:rsid w:val="00EC112F"/>
    <w:rsid w:val="00EC1877"/>
    <w:rsid w:val="00EC1D85"/>
    <w:rsid w:val="00EC1E58"/>
    <w:rsid w:val="00EC1E6C"/>
    <w:rsid w:val="00EC2207"/>
    <w:rsid w:val="00EC23E2"/>
    <w:rsid w:val="00EC24C0"/>
    <w:rsid w:val="00EC256E"/>
    <w:rsid w:val="00EC26A6"/>
    <w:rsid w:val="00EC27A6"/>
    <w:rsid w:val="00EC28F8"/>
    <w:rsid w:val="00EC2958"/>
    <w:rsid w:val="00EC2C1C"/>
    <w:rsid w:val="00EC2FCC"/>
    <w:rsid w:val="00EC3029"/>
    <w:rsid w:val="00EC30BE"/>
    <w:rsid w:val="00EC31B4"/>
    <w:rsid w:val="00EC32F6"/>
    <w:rsid w:val="00EC3AAF"/>
    <w:rsid w:val="00EC3DB0"/>
    <w:rsid w:val="00EC3EA2"/>
    <w:rsid w:val="00EC3FDF"/>
    <w:rsid w:val="00EC4609"/>
    <w:rsid w:val="00EC47AA"/>
    <w:rsid w:val="00EC49B0"/>
    <w:rsid w:val="00EC4C1A"/>
    <w:rsid w:val="00EC4C24"/>
    <w:rsid w:val="00EC4EDB"/>
    <w:rsid w:val="00EC4EFC"/>
    <w:rsid w:val="00EC4F7B"/>
    <w:rsid w:val="00EC53EB"/>
    <w:rsid w:val="00EC5514"/>
    <w:rsid w:val="00EC570F"/>
    <w:rsid w:val="00EC5841"/>
    <w:rsid w:val="00EC59CF"/>
    <w:rsid w:val="00EC59DC"/>
    <w:rsid w:val="00EC5F78"/>
    <w:rsid w:val="00EC5FA7"/>
    <w:rsid w:val="00EC62A7"/>
    <w:rsid w:val="00EC6726"/>
    <w:rsid w:val="00EC674E"/>
    <w:rsid w:val="00EC6A95"/>
    <w:rsid w:val="00EC6EE2"/>
    <w:rsid w:val="00EC6FD5"/>
    <w:rsid w:val="00EC724D"/>
    <w:rsid w:val="00EC767E"/>
    <w:rsid w:val="00EC786B"/>
    <w:rsid w:val="00EC78C1"/>
    <w:rsid w:val="00EC7A3B"/>
    <w:rsid w:val="00EC7D6A"/>
    <w:rsid w:val="00ED04E5"/>
    <w:rsid w:val="00ED060F"/>
    <w:rsid w:val="00ED067C"/>
    <w:rsid w:val="00ED07AA"/>
    <w:rsid w:val="00ED07E5"/>
    <w:rsid w:val="00ED0834"/>
    <w:rsid w:val="00ED0ADD"/>
    <w:rsid w:val="00ED0BC8"/>
    <w:rsid w:val="00ED0D24"/>
    <w:rsid w:val="00ED0D91"/>
    <w:rsid w:val="00ED0DBA"/>
    <w:rsid w:val="00ED14CA"/>
    <w:rsid w:val="00ED14D7"/>
    <w:rsid w:val="00ED15AE"/>
    <w:rsid w:val="00ED15C9"/>
    <w:rsid w:val="00ED162F"/>
    <w:rsid w:val="00ED1690"/>
    <w:rsid w:val="00ED197A"/>
    <w:rsid w:val="00ED1D88"/>
    <w:rsid w:val="00ED1DAB"/>
    <w:rsid w:val="00ED1FDF"/>
    <w:rsid w:val="00ED249F"/>
    <w:rsid w:val="00ED2575"/>
    <w:rsid w:val="00ED25BD"/>
    <w:rsid w:val="00ED25EE"/>
    <w:rsid w:val="00ED267B"/>
    <w:rsid w:val="00ED2745"/>
    <w:rsid w:val="00ED2C2C"/>
    <w:rsid w:val="00ED2E71"/>
    <w:rsid w:val="00ED31A6"/>
    <w:rsid w:val="00ED32A7"/>
    <w:rsid w:val="00ED34E9"/>
    <w:rsid w:val="00ED3689"/>
    <w:rsid w:val="00ED36BB"/>
    <w:rsid w:val="00ED38CF"/>
    <w:rsid w:val="00ED3A4B"/>
    <w:rsid w:val="00ED4098"/>
    <w:rsid w:val="00ED4F8C"/>
    <w:rsid w:val="00ED50F1"/>
    <w:rsid w:val="00ED5434"/>
    <w:rsid w:val="00ED56F2"/>
    <w:rsid w:val="00ED5A95"/>
    <w:rsid w:val="00ED5AA8"/>
    <w:rsid w:val="00ED5C0C"/>
    <w:rsid w:val="00ED6010"/>
    <w:rsid w:val="00ED62BF"/>
    <w:rsid w:val="00ED6A13"/>
    <w:rsid w:val="00ED6A73"/>
    <w:rsid w:val="00ED6B07"/>
    <w:rsid w:val="00ED6C6C"/>
    <w:rsid w:val="00ED6D14"/>
    <w:rsid w:val="00ED6D21"/>
    <w:rsid w:val="00ED7299"/>
    <w:rsid w:val="00ED7335"/>
    <w:rsid w:val="00ED77C6"/>
    <w:rsid w:val="00ED7843"/>
    <w:rsid w:val="00ED79B8"/>
    <w:rsid w:val="00ED7DFC"/>
    <w:rsid w:val="00EE0537"/>
    <w:rsid w:val="00EE09BA"/>
    <w:rsid w:val="00EE0E10"/>
    <w:rsid w:val="00EE1054"/>
    <w:rsid w:val="00EE1107"/>
    <w:rsid w:val="00EE1356"/>
    <w:rsid w:val="00EE19E4"/>
    <w:rsid w:val="00EE1FE4"/>
    <w:rsid w:val="00EE207D"/>
    <w:rsid w:val="00EE22BF"/>
    <w:rsid w:val="00EE23BE"/>
    <w:rsid w:val="00EE24BF"/>
    <w:rsid w:val="00EE2558"/>
    <w:rsid w:val="00EE25E1"/>
    <w:rsid w:val="00EE27E7"/>
    <w:rsid w:val="00EE2933"/>
    <w:rsid w:val="00EE36F6"/>
    <w:rsid w:val="00EE38B8"/>
    <w:rsid w:val="00EE3C1E"/>
    <w:rsid w:val="00EE3C46"/>
    <w:rsid w:val="00EE3C7B"/>
    <w:rsid w:val="00EE3D86"/>
    <w:rsid w:val="00EE3EE1"/>
    <w:rsid w:val="00EE411B"/>
    <w:rsid w:val="00EE41A3"/>
    <w:rsid w:val="00EE469F"/>
    <w:rsid w:val="00EE49D5"/>
    <w:rsid w:val="00EE4E24"/>
    <w:rsid w:val="00EE4F0A"/>
    <w:rsid w:val="00EE501C"/>
    <w:rsid w:val="00EE52DF"/>
    <w:rsid w:val="00EE54A3"/>
    <w:rsid w:val="00EE5A7F"/>
    <w:rsid w:val="00EE5AB4"/>
    <w:rsid w:val="00EE5DED"/>
    <w:rsid w:val="00EE5EDD"/>
    <w:rsid w:val="00EE6101"/>
    <w:rsid w:val="00EE6315"/>
    <w:rsid w:val="00EE63A8"/>
    <w:rsid w:val="00EE6492"/>
    <w:rsid w:val="00EE67CA"/>
    <w:rsid w:val="00EE6899"/>
    <w:rsid w:val="00EE706F"/>
    <w:rsid w:val="00EE70A9"/>
    <w:rsid w:val="00EE7168"/>
    <w:rsid w:val="00EE736B"/>
    <w:rsid w:val="00EE7525"/>
    <w:rsid w:val="00EE7949"/>
    <w:rsid w:val="00EE7DA8"/>
    <w:rsid w:val="00EE7FFC"/>
    <w:rsid w:val="00EF0116"/>
    <w:rsid w:val="00EF0199"/>
    <w:rsid w:val="00EF01FA"/>
    <w:rsid w:val="00EF02A5"/>
    <w:rsid w:val="00EF04C7"/>
    <w:rsid w:val="00EF0A1B"/>
    <w:rsid w:val="00EF0CF9"/>
    <w:rsid w:val="00EF0D2C"/>
    <w:rsid w:val="00EF0D63"/>
    <w:rsid w:val="00EF0DD3"/>
    <w:rsid w:val="00EF0F61"/>
    <w:rsid w:val="00EF1048"/>
    <w:rsid w:val="00EF1332"/>
    <w:rsid w:val="00EF14A8"/>
    <w:rsid w:val="00EF1509"/>
    <w:rsid w:val="00EF16FE"/>
    <w:rsid w:val="00EF175D"/>
    <w:rsid w:val="00EF1BD1"/>
    <w:rsid w:val="00EF1C2C"/>
    <w:rsid w:val="00EF28A4"/>
    <w:rsid w:val="00EF28C8"/>
    <w:rsid w:val="00EF290E"/>
    <w:rsid w:val="00EF2F7D"/>
    <w:rsid w:val="00EF3081"/>
    <w:rsid w:val="00EF3330"/>
    <w:rsid w:val="00EF3593"/>
    <w:rsid w:val="00EF37C7"/>
    <w:rsid w:val="00EF3985"/>
    <w:rsid w:val="00EF3BCC"/>
    <w:rsid w:val="00EF4267"/>
    <w:rsid w:val="00EF433B"/>
    <w:rsid w:val="00EF448D"/>
    <w:rsid w:val="00EF451E"/>
    <w:rsid w:val="00EF45F3"/>
    <w:rsid w:val="00EF4632"/>
    <w:rsid w:val="00EF481C"/>
    <w:rsid w:val="00EF48CB"/>
    <w:rsid w:val="00EF48DD"/>
    <w:rsid w:val="00EF4B6C"/>
    <w:rsid w:val="00EF4C78"/>
    <w:rsid w:val="00EF4DC4"/>
    <w:rsid w:val="00EF4EBE"/>
    <w:rsid w:val="00EF5085"/>
    <w:rsid w:val="00EF52B8"/>
    <w:rsid w:val="00EF5445"/>
    <w:rsid w:val="00EF5607"/>
    <w:rsid w:val="00EF59AD"/>
    <w:rsid w:val="00EF59C1"/>
    <w:rsid w:val="00EF5DBB"/>
    <w:rsid w:val="00EF6204"/>
    <w:rsid w:val="00EF64E5"/>
    <w:rsid w:val="00EF65FA"/>
    <w:rsid w:val="00EF6D07"/>
    <w:rsid w:val="00EF6DE2"/>
    <w:rsid w:val="00EF6F3D"/>
    <w:rsid w:val="00EF76EF"/>
    <w:rsid w:val="00EF7818"/>
    <w:rsid w:val="00EF78CF"/>
    <w:rsid w:val="00EF7C8F"/>
    <w:rsid w:val="00EF7D16"/>
    <w:rsid w:val="00EF7E9B"/>
    <w:rsid w:val="00F000AB"/>
    <w:rsid w:val="00F000EA"/>
    <w:rsid w:val="00F0018F"/>
    <w:rsid w:val="00F00589"/>
    <w:rsid w:val="00F006B0"/>
    <w:rsid w:val="00F00BEF"/>
    <w:rsid w:val="00F01003"/>
    <w:rsid w:val="00F01CBF"/>
    <w:rsid w:val="00F01CE3"/>
    <w:rsid w:val="00F01E42"/>
    <w:rsid w:val="00F01FCE"/>
    <w:rsid w:val="00F020FA"/>
    <w:rsid w:val="00F02319"/>
    <w:rsid w:val="00F02371"/>
    <w:rsid w:val="00F0267E"/>
    <w:rsid w:val="00F029E2"/>
    <w:rsid w:val="00F0334B"/>
    <w:rsid w:val="00F034CB"/>
    <w:rsid w:val="00F03A59"/>
    <w:rsid w:val="00F03B98"/>
    <w:rsid w:val="00F03E5E"/>
    <w:rsid w:val="00F03F5B"/>
    <w:rsid w:val="00F03F6A"/>
    <w:rsid w:val="00F04160"/>
    <w:rsid w:val="00F041D4"/>
    <w:rsid w:val="00F0454E"/>
    <w:rsid w:val="00F045D1"/>
    <w:rsid w:val="00F046C1"/>
    <w:rsid w:val="00F0480E"/>
    <w:rsid w:val="00F04983"/>
    <w:rsid w:val="00F04AAE"/>
    <w:rsid w:val="00F04B31"/>
    <w:rsid w:val="00F04DC7"/>
    <w:rsid w:val="00F052D6"/>
    <w:rsid w:val="00F05405"/>
    <w:rsid w:val="00F05604"/>
    <w:rsid w:val="00F05743"/>
    <w:rsid w:val="00F05B08"/>
    <w:rsid w:val="00F05B29"/>
    <w:rsid w:val="00F060DF"/>
    <w:rsid w:val="00F062A9"/>
    <w:rsid w:val="00F07281"/>
    <w:rsid w:val="00F07457"/>
    <w:rsid w:val="00F07B5D"/>
    <w:rsid w:val="00F07C0D"/>
    <w:rsid w:val="00F100D5"/>
    <w:rsid w:val="00F10109"/>
    <w:rsid w:val="00F10286"/>
    <w:rsid w:val="00F102CA"/>
    <w:rsid w:val="00F1041F"/>
    <w:rsid w:val="00F105A9"/>
    <w:rsid w:val="00F10738"/>
    <w:rsid w:val="00F10ACC"/>
    <w:rsid w:val="00F10AD8"/>
    <w:rsid w:val="00F10B1E"/>
    <w:rsid w:val="00F10B1F"/>
    <w:rsid w:val="00F10BE3"/>
    <w:rsid w:val="00F10DE4"/>
    <w:rsid w:val="00F11022"/>
    <w:rsid w:val="00F11178"/>
    <w:rsid w:val="00F117F6"/>
    <w:rsid w:val="00F117F7"/>
    <w:rsid w:val="00F11AEE"/>
    <w:rsid w:val="00F11B2D"/>
    <w:rsid w:val="00F11D28"/>
    <w:rsid w:val="00F11EF2"/>
    <w:rsid w:val="00F1216D"/>
    <w:rsid w:val="00F122D4"/>
    <w:rsid w:val="00F12656"/>
    <w:rsid w:val="00F127E3"/>
    <w:rsid w:val="00F127EE"/>
    <w:rsid w:val="00F12FA0"/>
    <w:rsid w:val="00F13287"/>
    <w:rsid w:val="00F1375B"/>
    <w:rsid w:val="00F13B75"/>
    <w:rsid w:val="00F13B97"/>
    <w:rsid w:val="00F13D24"/>
    <w:rsid w:val="00F13D5E"/>
    <w:rsid w:val="00F1442B"/>
    <w:rsid w:val="00F1487D"/>
    <w:rsid w:val="00F14A45"/>
    <w:rsid w:val="00F14BBE"/>
    <w:rsid w:val="00F14CF8"/>
    <w:rsid w:val="00F14D64"/>
    <w:rsid w:val="00F15028"/>
    <w:rsid w:val="00F15477"/>
    <w:rsid w:val="00F15F3C"/>
    <w:rsid w:val="00F169B0"/>
    <w:rsid w:val="00F16AD2"/>
    <w:rsid w:val="00F16DF3"/>
    <w:rsid w:val="00F16FB0"/>
    <w:rsid w:val="00F16FDC"/>
    <w:rsid w:val="00F17476"/>
    <w:rsid w:val="00F1794E"/>
    <w:rsid w:val="00F17B05"/>
    <w:rsid w:val="00F17F22"/>
    <w:rsid w:val="00F17F58"/>
    <w:rsid w:val="00F20532"/>
    <w:rsid w:val="00F2093C"/>
    <w:rsid w:val="00F20B4A"/>
    <w:rsid w:val="00F21072"/>
    <w:rsid w:val="00F212B5"/>
    <w:rsid w:val="00F2135F"/>
    <w:rsid w:val="00F214E6"/>
    <w:rsid w:val="00F218C6"/>
    <w:rsid w:val="00F21B33"/>
    <w:rsid w:val="00F21C0E"/>
    <w:rsid w:val="00F21CA1"/>
    <w:rsid w:val="00F21CEC"/>
    <w:rsid w:val="00F21EB1"/>
    <w:rsid w:val="00F221EE"/>
    <w:rsid w:val="00F22858"/>
    <w:rsid w:val="00F22A10"/>
    <w:rsid w:val="00F22D59"/>
    <w:rsid w:val="00F22DB3"/>
    <w:rsid w:val="00F23035"/>
    <w:rsid w:val="00F23164"/>
    <w:rsid w:val="00F23165"/>
    <w:rsid w:val="00F23360"/>
    <w:rsid w:val="00F23533"/>
    <w:rsid w:val="00F237AA"/>
    <w:rsid w:val="00F23A36"/>
    <w:rsid w:val="00F23BB6"/>
    <w:rsid w:val="00F23C5A"/>
    <w:rsid w:val="00F23CC1"/>
    <w:rsid w:val="00F23DA8"/>
    <w:rsid w:val="00F23E5E"/>
    <w:rsid w:val="00F23E9E"/>
    <w:rsid w:val="00F244BB"/>
    <w:rsid w:val="00F24563"/>
    <w:rsid w:val="00F24636"/>
    <w:rsid w:val="00F24C95"/>
    <w:rsid w:val="00F24FDC"/>
    <w:rsid w:val="00F255B9"/>
    <w:rsid w:val="00F257F7"/>
    <w:rsid w:val="00F25F06"/>
    <w:rsid w:val="00F26318"/>
    <w:rsid w:val="00F263FD"/>
    <w:rsid w:val="00F26B0F"/>
    <w:rsid w:val="00F26F09"/>
    <w:rsid w:val="00F27078"/>
    <w:rsid w:val="00F27083"/>
    <w:rsid w:val="00F27203"/>
    <w:rsid w:val="00F27616"/>
    <w:rsid w:val="00F2763B"/>
    <w:rsid w:val="00F27CA1"/>
    <w:rsid w:val="00F27EA5"/>
    <w:rsid w:val="00F27ED7"/>
    <w:rsid w:val="00F3061C"/>
    <w:rsid w:val="00F31260"/>
    <w:rsid w:val="00F31317"/>
    <w:rsid w:val="00F31394"/>
    <w:rsid w:val="00F31801"/>
    <w:rsid w:val="00F31809"/>
    <w:rsid w:val="00F31893"/>
    <w:rsid w:val="00F31A98"/>
    <w:rsid w:val="00F31DCD"/>
    <w:rsid w:val="00F31FA9"/>
    <w:rsid w:val="00F3215C"/>
    <w:rsid w:val="00F32192"/>
    <w:rsid w:val="00F32A1E"/>
    <w:rsid w:val="00F32BA1"/>
    <w:rsid w:val="00F32F18"/>
    <w:rsid w:val="00F33053"/>
    <w:rsid w:val="00F33464"/>
    <w:rsid w:val="00F3380B"/>
    <w:rsid w:val="00F33974"/>
    <w:rsid w:val="00F34414"/>
    <w:rsid w:val="00F344AB"/>
    <w:rsid w:val="00F34900"/>
    <w:rsid w:val="00F352BA"/>
    <w:rsid w:val="00F354B8"/>
    <w:rsid w:val="00F35B71"/>
    <w:rsid w:val="00F35C4A"/>
    <w:rsid w:val="00F35F05"/>
    <w:rsid w:val="00F36548"/>
    <w:rsid w:val="00F366CD"/>
    <w:rsid w:val="00F3692D"/>
    <w:rsid w:val="00F36976"/>
    <w:rsid w:val="00F36A49"/>
    <w:rsid w:val="00F36B0E"/>
    <w:rsid w:val="00F372A0"/>
    <w:rsid w:val="00F373CF"/>
    <w:rsid w:val="00F37797"/>
    <w:rsid w:val="00F37AF3"/>
    <w:rsid w:val="00F37BF3"/>
    <w:rsid w:val="00F37E73"/>
    <w:rsid w:val="00F4000D"/>
    <w:rsid w:val="00F400F2"/>
    <w:rsid w:val="00F40192"/>
    <w:rsid w:val="00F402EF"/>
    <w:rsid w:val="00F4032E"/>
    <w:rsid w:val="00F408D7"/>
    <w:rsid w:val="00F40DDB"/>
    <w:rsid w:val="00F40DF0"/>
    <w:rsid w:val="00F40ECC"/>
    <w:rsid w:val="00F413B7"/>
    <w:rsid w:val="00F41729"/>
    <w:rsid w:val="00F418F3"/>
    <w:rsid w:val="00F41B2F"/>
    <w:rsid w:val="00F4211D"/>
    <w:rsid w:val="00F4225B"/>
    <w:rsid w:val="00F42280"/>
    <w:rsid w:val="00F42A47"/>
    <w:rsid w:val="00F42E74"/>
    <w:rsid w:val="00F42EAE"/>
    <w:rsid w:val="00F42F7A"/>
    <w:rsid w:val="00F42FA5"/>
    <w:rsid w:val="00F43172"/>
    <w:rsid w:val="00F434BF"/>
    <w:rsid w:val="00F434F5"/>
    <w:rsid w:val="00F43760"/>
    <w:rsid w:val="00F438EF"/>
    <w:rsid w:val="00F43A18"/>
    <w:rsid w:val="00F4422C"/>
    <w:rsid w:val="00F44823"/>
    <w:rsid w:val="00F448FC"/>
    <w:rsid w:val="00F44D9A"/>
    <w:rsid w:val="00F44FA0"/>
    <w:rsid w:val="00F453D3"/>
    <w:rsid w:val="00F4552F"/>
    <w:rsid w:val="00F4560C"/>
    <w:rsid w:val="00F45648"/>
    <w:rsid w:val="00F4568A"/>
    <w:rsid w:val="00F45B3F"/>
    <w:rsid w:val="00F45CEE"/>
    <w:rsid w:val="00F45DCA"/>
    <w:rsid w:val="00F45FC5"/>
    <w:rsid w:val="00F460B3"/>
    <w:rsid w:val="00F460DF"/>
    <w:rsid w:val="00F460F4"/>
    <w:rsid w:val="00F46667"/>
    <w:rsid w:val="00F4687D"/>
    <w:rsid w:val="00F46C84"/>
    <w:rsid w:val="00F46F19"/>
    <w:rsid w:val="00F47093"/>
    <w:rsid w:val="00F47524"/>
    <w:rsid w:val="00F47586"/>
    <w:rsid w:val="00F47A51"/>
    <w:rsid w:val="00F47B24"/>
    <w:rsid w:val="00F47C95"/>
    <w:rsid w:val="00F47C97"/>
    <w:rsid w:val="00F47D1F"/>
    <w:rsid w:val="00F47E36"/>
    <w:rsid w:val="00F47F6A"/>
    <w:rsid w:val="00F50145"/>
    <w:rsid w:val="00F5059E"/>
    <w:rsid w:val="00F505FD"/>
    <w:rsid w:val="00F517B1"/>
    <w:rsid w:val="00F51CF9"/>
    <w:rsid w:val="00F521CB"/>
    <w:rsid w:val="00F521D4"/>
    <w:rsid w:val="00F52308"/>
    <w:rsid w:val="00F52444"/>
    <w:rsid w:val="00F528DB"/>
    <w:rsid w:val="00F52EF8"/>
    <w:rsid w:val="00F530AC"/>
    <w:rsid w:val="00F53160"/>
    <w:rsid w:val="00F532F4"/>
    <w:rsid w:val="00F53472"/>
    <w:rsid w:val="00F53653"/>
    <w:rsid w:val="00F53A56"/>
    <w:rsid w:val="00F53E51"/>
    <w:rsid w:val="00F53FBC"/>
    <w:rsid w:val="00F5425F"/>
    <w:rsid w:val="00F54348"/>
    <w:rsid w:val="00F5483F"/>
    <w:rsid w:val="00F54D99"/>
    <w:rsid w:val="00F54E2C"/>
    <w:rsid w:val="00F54F39"/>
    <w:rsid w:val="00F553E4"/>
    <w:rsid w:val="00F55867"/>
    <w:rsid w:val="00F55ACF"/>
    <w:rsid w:val="00F564B4"/>
    <w:rsid w:val="00F56677"/>
    <w:rsid w:val="00F56879"/>
    <w:rsid w:val="00F56919"/>
    <w:rsid w:val="00F56E35"/>
    <w:rsid w:val="00F56ECE"/>
    <w:rsid w:val="00F5705C"/>
    <w:rsid w:val="00F571AA"/>
    <w:rsid w:val="00F5750E"/>
    <w:rsid w:val="00F57761"/>
    <w:rsid w:val="00F57764"/>
    <w:rsid w:val="00F577AD"/>
    <w:rsid w:val="00F57A52"/>
    <w:rsid w:val="00F57C33"/>
    <w:rsid w:val="00F6043C"/>
    <w:rsid w:val="00F6055C"/>
    <w:rsid w:val="00F6056E"/>
    <w:rsid w:val="00F6085B"/>
    <w:rsid w:val="00F60872"/>
    <w:rsid w:val="00F6093D"/>
    <w:rsid w:val="00F60A61"/>
    <w:rsid w:val="00F60BAF"/>
    <w:rsid w:val="00F60EC4"/>
    <w:rsid w:val="00F61055"/>
    <w:rsid w:val="00F61300"/>
    <w:rsid w:val="00F61415"/>
    <w:rsid w:val="00F614D2"/>
    <w:rsid w:val="00F614FF"/>
    <w:rsid w:val="00F61744"/>
    <w:rsid w:val="00F62972"/>
    <w:rsid w:val="00F62B91"/>
    <w:rsid w:val="00F62D8F"/>
    <w:rsid w:val="00F63030"/>
    <w:rsid w:val="00F630B4"/>
    <w:rsid w:val="00F630FE"/>
    <w:rsid w:val="00F633B5"/>
    <w:rsid w:val="00F638FC"/>
    <w:rsid w:val="00F6401B"/>
    <w:rsid w:val="00F648C3"/>
    <w:rsid w:val="00F64971"/>
    <w:rsid w:val="00F64B52"/>
    <w:rsid w:val="00F64C75"/>
    <w:rsid w:val="00F64D1D"/>
    <w:rsid w:val="00F65022"/>
    <w:rsid w:val="00F652F5"/>
    <w:rsid w:val="00F65765"/>
    <w:rsid w:val="00F65C77"/>
    <w:rsid w:val="00F65D28"/>
    <w:rsid w:val="00F661D8"/>
    <w:rsid w:val="00F6636C"/>
    <w:rsid w:val="00F66973"/>
    <w:rsid w:val="00F669C1"/>
    <w:rsid w:val="00F66B7A"/>
    <w:rsid w:val="00F66C0B"/>
    <w:rsid w:val="00F66CCB"/>
    <w:rsid w:val="00F67277"/>
    <w:rsid w:val="00F67370"/>
    <w:rsid w:val="00F674E6"/>
    <w:rsid w:val="00F675A1"/>
    <w:rsid w:val="00F6760E"/>
    <w:rsid w:val="00F6796D"/>
    <w:rsid w:val="00F67A5C"/>
    <w:rsid w:val="00F67A7D"/>
    <w:rsid w:val="00F67CB5"/>
    <w:rsid w:val="00F67D7F"/>
    <w:rsid w:val="00F70008"/>
    <w:rsid w:val="00F70435"/>
    <w:rsid w:val="00F704FA"/>
    <w:rsid w:val="00F70850"/>
    <w:rsid w:val="00F70D8C"/>
    <w:rsid w:val="00F71109"/>
    <w:rsid w:val="00F71238"/>
    <w:rsid w:val="00F71409"/>
    <w:rsid w:val="00F7147C"/>
    <w:rsid w:val="00F7147D"/>
    <w:rsid w:val="00F71B34"/>
    <w:rsid w:val="00F72090"/>
    <w:rsid w:val="00F723B0"/>
    <w:rsid w:val="00F728CE"/>
    <w:rsid w:val="00F72B1C"/>
    <w:rsid w:val="00F72E53"/>
    <w:rsid w:val="00F72ED9"/>
    <w:rsid w:val="00F72F38"/>
    <w:rsid w:val="00F72FD1"/>
    <w:rsid w:val="00F730FB"/>
    <w:rsid w:val="00F733AB"/>
    <w:rsid w:val="00F733B2"/>
    <w:rsid w:val="00F73619"/>
    <w:rsid w:val="00F74029"/>
    <w:rsid w:val="00F746FE"/>
    <w:rsid w:val="00F74774"/>
    <w:rsid w:val="00F74B66"/>
    <w:rsid w:val="00F74D5C"/>
    <w:rsid w:val="00F750BC"/>
    <w:rsid w:val="00F75107"/>
    <w:rsid w:val="00F75837"/>
    <w:rsid w:val="00F75874"/>
    <w:rsid w:val="00F75F6B"/>
    <w:rsid w:val="00F75F91"/>
    <w:rsid w:val="00F76C74"/>
    <w:rsid w:val="00F76D6F"/>
    <w:rsid w:val="00F770FA"/>
    <w:rsid w:val="00F77528"/>
    <w:rsid w:val="00F7777F"/>
    <w:rsid w:val="00F77CA0"/>
    <w:rsid w:val="00F80013"/>
    <w:rsid w:val="00F802E3"/>
    <w:rsid w:val="00F80872"/>
    <w:rsid w:val="00F80902"/>
    <w:rsid w:val="00F80C87"/>
    <w:rsid w:val="00F80DB8"/>
    <w:rsid w:val="00F80E4A"/>
    <w:rsid w:val="00F80F1C"/>
    <w:rsid w:val="00F817E0"/>
    <w:rsid w:val="00F81A75"/>
    <w:rsid w:val="00F81AEC"/>
    <w:rsid w:val="00F81CBC"/>
    <w:rsid w:val="00F81DA4"/>
    <w:rsid w:val="00F81E18"/>
    <w:rsid w:val="00F81E70"/>
    <w:rsid w:val="00F8210C"/>
    <w:rsid w:val="00F8251E"/>
    <w:rsid w:val="00F82568"/>
    <w:rsid w:val="00F825DC"/>
    <w:rsid w:val="00F82942"/>
    <w:rsid w:val="00F83091"/>
    <w:rsid w:val="00F832ED"/>
    <w:rsid w:val="00F8364C"/>
    <w:rsid w:val="00F8364E"/>
    <w:rsid w:val="00F838F9"/>
    <w:rsid w:val="00F83969"/>
    <w:rsid w:val="00F83C41"/>
    <w:rsid w:val="00F83E7C"/>
    <w:rsid w:val="00F83E9B"/>
    <w:rsid w:val="00F83F10"/>
    <w:rsid w:val="00F83F3E"/>
    <w:rsid w:val="00F842EF"/>
    <w:rsid w:val="00F844B6"/>
    <w:rsid w:val="00F8479B"/>
    <w:rsid w:val="00F84805"/>
    <w:rsid w:val="00F8492E"/>
    <w:rsid w:val="00F84CD9"/>
    <w:rsid w:val="00F84E07"/>
    <w:rsid w:val="00F84E2F"/>
    <w:rsid w:val="00F84F96"/>
    <w:rsid w:val="00F85044"/>
    <w:rsid w:val="00F850BF"/>
    <w:rsid w:val="00F8511F"/>
    <w:rsid w:val="00F85350"/>
    <w:rsid w:val="00F85378"/>
    <w:rsid w:val="00F85790"/>
    <w:rsid w:val="00F859F7"/>
    <w:rsid w:val="00F85B41"/>
    <w:rsid w:val="00F85F7D"/>
    <w:rsid w:val="00F8608F"/>
    <w:rsid w:val="00F862FB"/>
    <w:rsid w:val="00F866B3"/>
    <w:rsid w:val="00F86A69"/>
    <w:rsid w:val="00F86ABF"/>
    <w:rsid w:val="00F86B6A"/>
    <w:rsid w:val="00F86D32"/>
    <w:rsid w:val="00F8721C"/>
    <w:rsid w:val="00F87360"/>
    <w:rsid w:val="00F87553"/>
    <w:rsid w:val="00F87F8C"/>
    <w:rsid w:val="00F87FDC"/>
    <w:rsid w:val="00F904EE"/>
    <w:rsid w:val="00F9054A"/>
    <w:rsid w:val="00F90CCA"/>
    <w:rsid w:val="00F90E54"/>
    <w:rsid w:val="00F90FAF"/>
    <w:rsid w:val="00F91035"/>
    <w:rsid w:val="00F910D8"/>
    <w:rsid w:val="00F91112"/>
    <w:rsid w:val="00F912CC"/>
    <w:rsid w:val="00F9139F"/>
    <w:rsid w:val="00F915A6"/>
    <w:rsid w:val="00F91831"/>
    <w:rsid w:val="00F91C10"/>
    <w:rsid w:val="00F91C75"/>
    <w:rsid w:val="00F91F9F"/>
    <w:rsid w:val="00F920A3"/>
    <w:rsid w:val="00F92326"/>
    <w:rsid w:val="00F9255D"/>
    <w:rsid w:val="00F92630"/>
    <w:rsid w:val="00F92841"/>
    <w:rsid w:val="00F92999"/>
    <w:rsid w:val="00F92EE7"/>
    <w:rsid w:val="00F930F7"/>
    <w:rsid w:val="00F931E3"/>
    <w:rsid w:val="00F932F6"/>
    <w:rsid w:val="00F93484"/>
    <w:rsid w:val="00F93651"/>
    <w:rsid w:val="00F938DF"/>
    <w:rsid w:val="00F939A3"/>
    <w:rsid w:val="00F93DD0"/>
    <w:rsid w:val="00F93E1F"/>
    <w:rsid w:val="00F9403B"/>
    <w:rsid w:val="00F94108"/>
    <w:rsid w:val="00F942A0"/>
    <w:rsid w:val="00F942D9"/>
    <w:rsid w:val="00F948F1"/>
    <w:rsid w:val="00F94B3F"/>
    <w:rsid w:val="00F94D0C"/>
    <w:rsid w:val="00F94E1F"/>
    <w:rsid w:val="00F94F3A"/>
    <w:rsid w:val="00F95167"/>
    <w:rsid w:val="00F953C4"/>
    <w:rsid w:val="00F953EC"/>
    <w:rsid w:val="00F956AF"/>
    <w:rsid w:val="00F956C1"/>
    <w:rsid w:val="00F959C3"/>
    <w:rsid w:val="00F95AB3"/>
    <w:rsid w:val="00F95ABA"/>
    <w:rsid w:val="00F95DEA"/>
    <w:rsid w:val="00F95EE4"/>
    <w:rsid w:val="00F963C4"/>
    <w:rsid w:val="00F969E4"/>
    <w:rsid w:val="00F96A33"/>
    <w:rsid w:val="00F96B38"/>
    <w:rsid w:val="00F96C89"/>
    <w:rsid w:val="00F9731D"/>
    <w:rsid w:val="00F97895"/>
    <w:rsid w:val="00F97E4C"/>
    <w:rsid w:val="00F97EC2"/>
    <w:rsid w:val="00FA018D"/>
    <w:rsid w:val="00FA0635"/>
    <w:rsid w:val="00FA07C6"/>
    <w:rsid w:val="00FA094E"/>
    <w:rsid w:val="00FA0B24"/>
    <w:rsid w:val="00FA105E"/>
    <w:rsid w:val="00FA146F"/>
    <w:rsid w:val="00FA1921"/>
    <w:rsid w:val="00FA1976"/>
    <w:rsid w:val="00FA1A83"/>
    <w:rsid w:val="00FA1A9C"/>
    <w:rsid w:val="00FA1AA7"/>
    <w:rsid w:val="00FA1BA9"/>
    <w:rsid w:val="00FA1BE9"/>
    <w:rsid w:val="00FA1E75"/>
    <w:rsid w:val="00FA22D5"/>
    <w:rsid w:val="00FA22F7"/>
    <w:rsid w:val="00FA24A4"/>
    <w:rsid w:val="00FA25BE"/>
    <w:rsid w:val="00FA26E8"/>
    <w:rsid w:val="00FA26EA"/>
    <w:rsid w:val="00FA2CB1"/>
    <w:rsid w:val="00FA3569"/>
    <w:rsid w:val="00FA395A"/>
    <w:rsid w:val="00FA3AE7"/>
    <w:rsid w:val="00FA3FDC"/>
    <w:rsid w:val="00FA456E"/>
    <w:rsid w:val="00FA46B4"/>
    <w:rsid w:val="00FA4916"/>
    <w:rsid w:val="00FA4D57"/>
    <w:rsid w:val="00FA51C5"/>
    <w:rsid w:val="00FA5999"/>
    <w:rsid w:val="00FA5AEA"/>
    <w:rsid w:val="00FA5D6E"/>
    <w:rsid w:val="00FA5DE5"/>
    <w:rsid w:val="00FA5E2B"/>
    <w:rsid w:val="00FA60DD"/>
    <w:rsid w:val="00FA6538"/>
    <w:rsid w:val="00FA65B7"/>
    <w:rsid w:val="00FA666D"/>
    <w:rsid w:val="00FA6E09"/>
    <w:rsid w:val="00FA72FB"/>
    <w:rsid w:val="00FA790D"/>
    <w:rsid w:val="00FB03DB"/>
    <w:rsid w:val="00FB056E"/>
    <w:rsid w:val="00FB0C3F"/>
    <w:rsid w:val="00FB0D77"/>
    <w:rsid w:val="00FB11C9"/>
    <w:rsid w:val="00FB1244"/>
    <w:rsid w:val="00FB1462"/>
    <w:rsid w:val="00FB14D1"/>
    <w:rsid w:val="00FB185F"/>
    <w:rsid w:val="00FB1DEA"/>
    <w:rsid w:val="00FB1F1F"/>
    <w:rsid w:val="00FB21E7"/>
    <w:rsid w:val="00FB230A"/>
    <w:rsid w:val="00FB26D1"/>
    <w:rsid w:val="00FB2734"/>
    <w:rsid w:val="00FB273B"/>
    <w:rsid w:val="00FB3694"/>
    <w:rsid w:val="00FB3A5D"/>
    <w:rsid w:val="00FB3C25"/>
    <w:rsid w:val="00FB3F88"/>
    <w:rsid w:val="00FB4232"/>
    <w:rsid w:val="00FB43E6"/>
    <w:rsid w:val="00FB44A2"/>
    <w:rsid w:val="00FB46A0"/>
    <w:rsid w:val="00FB4B49"/>
    <w:rsid w:val="00FB4B98"/>
    <w:rsid w:val="00FB4BC6"/>
    <w:rsid w:val="00FB50CD"/>
    <w:rsid w:val="00FB5502"/>
    <w:rsid w:val="00FB55AF"/>
    <w:rsid w:val="00FB57AC"/>
    <w:rsid w:val="00FB5905"/>
    <w:rsid w:val="00FB5A9A"/>
    <w:rsid w:val="00FB5EC8"/>
    <w:rsid w:val="00FB63F0"/>
    <w:rsid w:val="00FB664D"/>
    <w:rsid w:val="00FB6986"/>
    <w:rsid w:val="00FB69E0"/>
    <w:rsid w:val="00FB69FF"/>
    <w:rsid w:val="00FB6F3F"/>
    <w:rsid w:val="00FB708C"/>
    <w:rsid w:val="00FB7B55"/>
    <w:rsid w:val="00FB7CAC"/>
    <w:rsid w:val="00FC019F"/>
    <w:rsid w:val="00FC0363"/>
    <w:rsid w:val="00FC03C6"/>
    <w:rsid w:val="00FC0617"/>
    <w:rsid w:val="00FC079A"/>
    <w:rsid w:val="00FC0A49"/>
    <w:rsid w:val="00FC0A83"/>
    <w:rsid w:val="00FC0B99"/>
    <w:rsid w:val="00FC108D"/>
    <w:rsid w:val="00FC13B2"/>
    <w:rsid w:val="00FC19F5"/>
    <w:rsid w:val="00FC1B47"/>
    <w:rsid w:val="00FC1FC3"/>
    <w:rsid w:val="00FC1FDB"/>
    <w:rsid w:val="00FC2190"/>
    <w:rsid w:val="00FC2BE2"/>
    <w:rsid w:val="00FC2FCA"/>
    <w:rsid w:val="00FC2FD8"/>
    <w:rsid w:val="00FC3276"/>
    <w:rsid w:val="00FC335E"/>
    <w:rsid w:val="00FC37A1"/>
    <w:rsid w:val="00FC3C56"/>
    <w:rsid w:val="00FC3D3A"/>
    <w:rsid w:val="00FC3FC5"/>
    <w:rsid w:val="00FC41D5"/>
    <w:rsid w:val="00FC438B"/>
    <w:rsid w:val="00FC44B5"/>
    <w:rsid w:val="00FC4777"/>
    <w:rsid w:val="00FC477B"/>
    <w:rsid w:val="00FC4824"/>
    <w:rsid w:val="00FC48E5"/>
    <w:rsid w:val="00FC49D7"/>
    <w:rsid w:val="00FC4B80"/>
    <w:rsid w:val="00FC4BBD"/>
    <w:rsid w:val="00FC4C4D"/>
    <w:rsid w:val="00FC4F06"/>
    <w:rsid w:val="00FC4F43"/>
    <w:rsid w:val="00FC5516"/>
    <w:rsid w:val="00FC5BFB"/>
    <w:rsid w:val="00FC5DC4"/>
    <w:rsid w:val="00FC6546"/>
    <w:rsid w:val="00FC656C"/>
    <w:rsid w:val="00FC6B63"/>
    <w:rsid w:val="00FC6C0B"/>
    <w:rsid w:val="00FC7323"/>
    <w:rsid w:val="00FC772E"/>
    <w:rsid w:val="00FC7988"/>
    <w:rsid w:val="00FC7A04"/>
    <w:rsid w:val="00FC7B3F"/>
    <w:rsid w:val="00FC7CE4"/>
    <w:rsid w:val="00FC7E17"/>
    <w:rsid w:val="00FD0502"/>
    <w:rsid w:val="00FD0534"/>
    <w:rsid w:val="00FD0632"/>
    <w:rsid w:val="00FD0917"/>
    <w:rsid w:val="00FD09C0"/>
    <w:rsid w:val="00FD09C4"/>
    <w:rsid w:val="00FD101C"/>
    <w:rsid w:val="00FD116E"/>
    <w:rsid w:val="00FD1199"/>
    <w:rsid w:val="00FD11B0"/>
    <w:rsid w:val="00FD1A2E"/>
    <w:rsid w:val="00FD1C11"/>
    <w:rsid w:val="00FD1D77"/>
    <w:rsid w:val="00FD1E50"/>
    <w:rsid w:val="00FD1FA7"/>
    <w:rsid w:val="00FD25C7"/>
    <w:rsid w:val="00FD2821"/>
    <w:rsid w:val="00FD2ACE"/>
    <w:rsid w:val="00FD2B8A"/>
    <w:rsid w:val="00FD2CC5"/>
    <w:rsid w:val="00FD2DB1"/>
    <w:rsid w:val="00FD2E47"/>
    <w:rsid w:val="00FD2FC6"/>
    <w:rsid w:val="00FD30CF"/>
    <w:rsid w:val="00FD35CC"/>
    <w:rsid w:val="00FD36D7"/>
    <w:rsid w:val="00FD3AE7"/>
    <w:rsid w:val="00FD3B99"/>
    <w:rsid w:val="00FD3D4B"/>
    <w:rsid w:val="00FD4002"/>
    <w:rsid w:val="00FD4063"/>
    <w:rsid w:val="00FD4665"/>
    <w:rsid w:val="00FD484F"/>
    <w:rsid w:val="00FD48EC"/>
    <w:rsid w:val="00FD490C"/>
    <w:rsid w:val="00FD4D91"/>
    <w:rsid w:val="00FD576D"/>
    <w:rsid w:val="00FD5C8A"/>
    <w:rsid w:val="00FD6345"/>
    <w:rsid w:val="00FD6690"/>
    <w:rsid w:val="00FD691A"/>
    <w:rsid w:val="00FD731B"/>
    <w:rsid w:val="00FD766D"/>
    <w:rsid w:val="00FD796B"/>
    <w:rsid w:val="00FD7FC0"/>
    <w:rsid w:val="00FE0027"/>
    <w:rsid w:val="00FE008D"/>
    <w:rsid w:val="00FE01C3"/>
    <w:rsid w:val="00FE064B"/>
    <w:rsid w:val="00FE0E75"/>
    <w:rsid w:val="00FE0E94"/>
    <w:rsid w:val="00FE1065"/>
    <w:rsid w:val="00FE15E0"/>
    <w:rsid w:val="00FE16E7"/>
    <w:rsid w:val="00FE1B5F"/>
    <w:rsid w:val="00FE1C36"/>
    <w:rsid w:val="00FE1CB4"/>
    <w:rsid w:val="00FE1D96"/>
    <w:rsid w:val="00FE2030"/>
    <w:rsid w:val="00FE2151"/>
    <w:rsid w:val="00FE24F3"/>
    <w:rsid w:val="00FE2854"/>
    <w:rsid w:val="00FE291D"/>
    <w:rsid w:val="00FE2F9F"/>
    <w:rsid w:val="00FE321F"/>
    <w:rsid w:val="00FE322A"/>
    <w:rsid w:val="00FE33E9"/>
    <w:rsid w:val="00FE38E6"/>
    <w:rsid w:val="00FE3E3C"/>
    <w:rsid w:val="00FE3E8B"/>
    <w:rsid w:val="00FE3F32"/>
    <w:rsid w:val="00FE44D7"/>
    <w:rsid w:val="00FE4573"/>
    <w:rsid w:val="00FE46A0"/>
    <w:rsid w:val="00FE49DE"/>
    <w:rsid w:val="00FE4B62"/>
    <w:rsid w:val="00FE5388"/>
    <w:rsid w:val="00FE54F8"/>
    <w:rsid w:val="00FE5634"/>
    <w:rsid w:val="00FE56F8"/>
    <w:rsid w:val="00FE5B1F"/>
    <w:rsid w:val="00FE5EE0"/>
    <w:rsid w:val="00FE5FAF"/>
    <w:rsid w:val="00FE6153"/>
    <w:rsid w:val="00FE66BA"/>
    <w:rsid w:val="00FE67E4"/>
    <w:rsid w:val="00FE6A68"/>
    <w:rsid w:val="00FE6F0F"/>
    <w:rsid w:val="00FE6F98"/>
    <w:rsid w:val="00FE6FBD"/>
    <w:rsid w:val="00FE7230"/>
    <w:rsid w:val="00FE7F0F"/>
    <w:rsid w:val="00FF0007"/>
    <w:rsid w:val="00FF011A"/>
    <w:rsid w:val="00FF0214"/>
    <w:rsid w:val="00FF02AF"/>
    <w:rsid w:val="00FF02CF"/>
    <w:rsid w:val="00FF02DB"/>
    <w:rsid w:val="00FF0579"/>
    <w:rsid w:val="00FF05AA"/>
    <w:rsid w:val="00FF0679"/>
    <w:rsid w:val="00FF07B4"/>
    <w:rsid w:val="00FF081A"/>
    <w:rsid w:val="00FF0EEF"/>
    <w:rsid w:val="00FF10D6"/>
    <w:rsid w:val="00FF11D4"/>
    <w:rsid w:val="00FF12BA"/>
    <w:rsid w:val="00FF1447"/>
    <w:rsid w:val="00FF14F5"/>
    <w:rsid w:val="00FF1670"/>
    <w:rsid w:val="00FF2159"/>
    <w:rsid w:val="00FF22F6"/>
    <w:rsid w:val="00FF28BA"/>
    <w:rsid w:val="00FF2BF8"/>
    <w:rsid w:val="00FF2CE8"/>
    <w:rsid w:val="00FF3579"/>
    <w:rsid w:val="00FF3765"/>
    <w:rsid w:val="00FF3C86"/>
    <w:rsid w:val="00FF4214"/>
    <w:rsid w:val="00FF4278"/>
    <w:rsid w:val="00FF4393"/>
    <w:rsid w:val="00FF4547"/>
    <w:rsid w:val="00FF4D7C"/>
    <w:rsid w:val="00FF52BC"/>
    <w:rsid w:val="00FF558C"/>
    <w:rsid w:val="00FF55C3"/>
    <w:rsid w:val="00FF5779"/>
    <w:rsid w:val="00FF57C0"/>
    <w:rsid w:val="00FF5939"/>
    <w:rsid w:val="00FF59FB"/>
    <w:rsid w:val="00FF5A46"/>
    <w:rsid w:val="00FF5AE3"/>
    <w:rsid w:val="00FF5B25"/>
    <w:rsid w:val="00FF5B38"/>
    <w:rsid w:val="00FF624C"/>
    <w:rsid w:val="00FF6312"/>
    <w:rsid w:val="00FF6870"/>
    <w:rsid w:val="00FF68EA"/>
    <w:rsid w:val="00FF6907"/>
    <w:rsid w:val="00FF6B27"/>
    <w:rsid w:val="00FF6E0D"/>
    <w:rsid w:val="00FF7485"/>
    <w:rsid w:val="00FF76E2"/>
    <w:rsid w:val="00FF7956"/>
    <w:rsid w:val="00FF7B4A"/>
    <w:rsid w:val="00FF7E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9D36E"/>
  <w15:chartTrackingRefBased/>
  <w15:docId w15:val="{E7938DD0-9FEB-4EF1-8EC7-9796E9CC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widowControl w:val="0"/>
      <w:overflowPunct w:val="0"/>
      <w:autoSpaceDE w:val="0"/>
      <w:autoSpaceDN w:val="0"/>
      <w:adjustRightInd w:val="0"/>
      <w:jc w:val="both"/>
      <w:textAlignment w:val="baseline"/>
    </w:pPr>
    <w:rPr>
      <w:sz w:val="22"/>
    </w:rPr>
  </w:style>
  <w:style w:type="paragraph" w:styleId="Nadpis1">
    <w:name w:val="heading 1"/>
    <w:basedOn w:val="Normlny"/>
    <w:next w:val="Normlny"/>
    <w:qFormat/>
    <w:pPr>
      <w:spacing w:before="240"/>
      <w:outlineLvl w:val="0"/>
    </w:pPr>
    <w:rPr>
      <w:rFonts w:ascii="Arial" w:hAnsi="Arial"/>
      <w:b/>
      <w:sz w:val="24"/>
      <w:u w:val="single"/>
    </w:rPr>
  </w:style>
  <w:style w:type="paragraph" w:styleId="Nadpis2">
    <w:name w:val="heading 2"/>
    <w:basedOn w:val="Normlny"/>
    <w:next w:val="Normlny"/>
    <w:link w:val="Nadpis2Char"/>
    <w:qFormat/>
    <w:pPr>
      <w:spacing w:before="120"/>
      <w:outlineLvl w:val="1"/>
    </w:pPr>
    <w:rPr>
      <w:rFonts w:ascii="Arial" w:hAnsi="Arial"/>
      <w:b/>
      <w:sz w:val="24"/>
    </w:rPr>
  </w:style>
  <w:style w:type="paragraph" w:styleId="Nadpis3">
    <w:name w:val="heading 3"/>
    <w:basedOn w:val="Normlny"/>
    <w:next w:val="Normlnysozarkami"/>
    <w:qFormat/>
    <w:pPr>
      <w:ind w:left="354"/>
      <w:outlineLvl w:val="2"/>
    </w:pPr>
    <w:rPr>
      <w:b/>
      <w:sz w:val="24"/>
    </w:rPr>
  </w:style>
  <w:style w:type="paragraph" w:styleId="Nadpis4">
    <w:name w:val="heading 4"/>
    <w:basedOn w:val="Normlny"/>
    <w:next w:val="Normlny"/>
    <w:qFormat/>
    <w:pPr>
      <w:keepNext/>
      <w:spacing w:before="240" w:after="60"/>
      <w:outlineLvl w:val="3"/>
    </w:pPr>
    <w:rPr>
      <w:rFonts w:ascii="Arial" w:hAnsi="Arial"/>
      <w:b/>
      <w:sz w:val="24"/>
    </w:rPr>
  </w:style>
  <w:style w:type="paragraph" w:styleId="Nadpis5">
    <w:name w:val="heading 5"/>
    <w:basedOn w:val="Normlny"/>
    <w:next w:val="Normlny"/>
    <w:qFormat/>
    <w:pPr>
      <w:keepNext/>
      <w:outlineLvl w:val="4"/>
    </w:pPr>
    <w:rPr>
      <w:b/>
      <w:sz w:val="20"/>
    </w:rPr>
  </w:style>
  <w:style w:type="paragraph" w:styleId="Nadpis6">
    <w:name w:val="heading 6"/>
    <w:basedOn w:val="Normlny"/>
    <w:next w:val="Normlny"/>
    <w:qFormat/>
    <w:pPr>
      <w:spacing w:before="240" w:after="60"/>
      <w:outlineLvl w:val="5"/>
    </w:pPr>
    <w:rPr>
      <w:i/>
    </w:rPr>
  </w:style>
  <w:style w:type="paragraph" w:styleId="Nadpis7">
    <w:name w:val="heading 7"/>
    <w:basedOn w:val="Normlny"/>
    <w:next w:val="Normlny"/>
    <w:qFormat/>
    <w:pPr>
      <w:keepNext/>
      <w:widowControl/>
      <w:outlineLvl w:val="6"/>
    </w:pPr>
    <w:rPr>
      <w:b/>
      <w:caps/>
    </w:rPr>
  </w:style>
  <w:style w:type="paragraph" w:styleId="Nadpis8">
    <w:name w:val="heading 8"/>
    <w:basedOn w:val="Normlny"/>
    <w:next w:val="Normlny"/>
    <w:qFormat/>
    <w:pPr>
      <w:keepNext/>
      <w:outlineLvl w:val="7"/>
    </w:pPr>
    <w:rPr>
      <w:b/>
      <w:sz w:val="21"/>
    </w:rPr>
  </w:style>
  <w:style w:type="paragraph" w:styleId="Nadpis9">
    <w:name w:val="heading 9"/>
    <w:basedOn w:val="Normlny"/>
    <w:next w:val="Normlny"/>
    <w:qFormat/>
    <w:pPr>
      <w:keepNext/>
      <w:outlineLvl w:val="8"/>
    </w:pPr>
    <w:rPr>
      <w:sz w:val="21"/>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sozarkami">
    <w:name w:val="Normal Indent"/>
    <w:basedOn w:val="Normlny"/>
    <w:semiHidden/>
    <w:pPr>
      <w:ind w:left="708"/>
    </w:pPr>
  </w:style>
  <w:style w:type="character" w:styleId="Odkaznapoznmkupodiarou">
    <w:name w:val="footnote reference"/>
    <w:semiHidden/>
    <w:rPr>
      <w:position w:val="6"/>
      <w:sz w:val="16"/>
    </w:rPr>
  </w:style>
  <w:style w:type="paragraph" w:styleId="Textpoznmkypodiarou">
    <w:name w:val="footnote text"/>
    <w:basedOn w:val="Normlny"/>
    <w:link w:val="TextpoznmkypodiarouChar"/>
    <w:uiPriority w:val="99"/>
    <w:semiHidden/>
    <w:rPr>
      <w:rFonts w:ascii="Arial" w:hAnsi="Arial"/>
      <w:sz w:val="16"/>
    </w:rPr>
  </w:style>
  <w:style w:type="paragraph" w:customStyle="1" w:styleId="Bulletin">
    <w:name w:val="Bulletin"/>
    <w:basedOn w:val="Normlny"/>
    <w:rPr>
      <w:sz w:val="28"/>
    </w:rPr>
  </w:style>
  <w:style w:type="paragraph" w:styleId="Obsah4">
    <w:name w:val="toc 4"/>
    <w:basedOn w:val="Normlny"/>
    <w:next w:val="Normlny"/>
    <w:semiHidden/>
    <w:pPr>
      <w:tabs>
        <w:tab w:val="right" w:leader="dot" w:pos="9355"/>
      </w:tabs>
      <w:ind w:left="750"/>
    </w:pPr>
  </w:style>
  <w:style w:type="paragraph" w:styleId="Obsah5">
    <w:name w:val="toc 5"/>
    <w:basedOn w:val="Normlny"/>
    <w:next w:val="Normlny"/>
    <w:semiHidden/>
    <w:pPr>
      <w:tabs>
        <w:tab w:val="right" w:leader="dot" w:pos="9355"/>
      </w:tabs>
      <w:ind w:left="1000"/>
    </w:pPr>
  </w:style>
  <w:style w:type="paragraph" w:styleId="Obsah6">
    <w:name w:val="toc 6"/>
    <w:basedOn w:val="Normlny"/>
    <w:next w:val="Normlny"/>
    <w:semiHidden/>
    <w:pPr>
      <w:tabs>
        <w:tab w:val="right" w:leader="dot" w:pos="9355"/>
      </w:tabs>
      <w:ind w:left="1250"/>
    </w:pPr>
  </w:style>
  <w:style w:type="paragraph" w:styleId="Obsah7">
    <w:name w:val="toc 7"/>
    <w:basedOn w:val="Normlny"/>
    <w:next w:val="Normlny"/>
    <w:semiHidden/>
    <w:pPr>
      <w:tabs>
        <w:tab w:val="right" w:leader="dot" w:pos="9355"/>
      </w:tabs>
      <w:ind w:left="1500"/>
    </w:pPr>
  </w:style>
  <w:style w:type="paragraph" w:styleId="Obsah8">
    <w:name w:val="toc 8"/>
    <w:basedOn w:val="Normlny"/>
    <w:next w:val="Normlny"/>
    <w:semiHidden/>
    <w:pPr>
      <w:tabs>
        <w:tab w:val="right" w:leader="dot" w:pos="9355"/>
      </w:tabs>
      <w:ind w:left="1750"/>
    </w:pPr>
  </w:style>
  <w:style w:type="paragraph" w:styleId="Obsah9">
    <w:name w:val="toc 9"/>
    <w:basedOn w:val="Normlny"/>
    <w:next w:val="Normlny"/>
    <w:semiHidden/>
    <w:pPr>
      <w:tabs>
        <w:tab w:val="right" w:leader="dot" w:pos="9355"/>
      </w:tabs>
      <w:ind w:left="2000"/>
    </w:pPr>
  </w:style>
  <w:style w:type="paragraph" w:styleId="Hlavika">
    <w:name w:val="header"/>
    <w:basedOn w:val="Normlny"/>
    <w:link w:val="HlavikaChar"/>
    <w:uiPriority w:val="99"/>
    <w:pPr>
      <w:tabs>
        <w:tab w:val="center" w:pos="4536"/>
        <w:tab w:val="right" w:pos="9072"/>
      </w:tabs>
    </w:pPr>
  </w:style>
  <w:style w:type="paragraph" w:styleId="Zkladntext">
    <w:name w:val="Body Text"/>
    <w:basedOn w:val="Normlny"/>
    <w:semiHidden/>
    <w:pPr>
      <w:spacing w:after="120"/>
    </w:pPr>
  </w:style>
  <w:style w:type="paragraph" w:customStyle="1" w:styleId="Zkladntext21">
    <w:name w:val="Základný text 21"/>
    <w:basedOn w:val="Normlny"/>
    <w:pPr>
      <w:spacing w:after="120"/>
      <w:ind w:left="283"/>
    </w:pPr>
  </w:style>
  <w:style w:type="paragraph" w:styleId="Pta">
    <w:name w:val="footer"/>
    <w:basedOn w:val="Normlny"/>
    <w:semiHidden/>
    <w:pPr>
      <w:tabs>
        <w:tab w:val="center" w:pos="4536"/>
        <w:tab w:val="right" w:pos="9072"/>
      </w:tabs>
      <w:jc w:val="left"/>
    </w:pPr>
    <w:rPr>
      <w:sz w:val="20"/>
    </w:rPr>
  </w:style>
  <w:style w:type="paragraph" w:customStyle="1" w:styleId="Normlnywebov1">
    <w:name w:val="Normálny (webový)1"/>
    <w:basedOn w:val="Normlny"/>
    <w:pPr>
      <w:widowControl/>
      <w:spacing w:before="100" w:after="100"/>
      <w:jc w:val="left"/>
    </w:pPr>
    <w:rPr>
      <w:rFonts w:ascii="Arial Unicode MS" w:eastAsia="Arial Unicode MS"/>
      <w:sz w:val="24"/>
      <w:lang w:val="cs-CZ"/>
    </w:rPr>
  </w:style>
  <w:style w:type="character" w:customStyle="1" w:styleId="Zvraznenie1">
    <w:name w:val="Zvýraznenie1"/>
    <w:rPr>
      <w:i/>
    </w:rPr>
  </w:style>
  <w:style w:type="paragraph" w:customStyle="1" w:styleId="BodyText228">
    <w:name w:val="Body Text 228"/>
    <w:basedOn w:val="Normlny"/>
  </w:style>
  <w:style w:type="paragraph" w:customStyle="1" w:styleId="Zkladntext31">
    <w:name w:val="Základný text 31"/>
    <w:basedOn w:val="Normlny"/>
    <w:rPr>
      <w:color w:val="000000"/>
    </w:rPr>
  </w:style>
  <w:style w:type="paragraph" w:customStyle="1" w:styleId="BodyText227">
    <w:name w:val="Body Text 227"/>
    <w:basedOn w:val="Normlny"/>
    <w:pPr>
      <w:jc w:val="left"/>
    </w:pPr>
    <w:rPr>
      <w:b/>
    </w:rPr>
  </w:style>
  <w:style w:type="paragraph" w:customStyle="1" w:styleId="BodyText39">
    <w:name w:val="Body Text 39"/>
    <w:basedOn w:val="Normlny"/>
    <w:pPr>
      <w:jc w:val="left"/>
    </w:pPr>
    <w:rPr>
      <w:sz w:val="20"/>
    </w:rPr>
  </w:style>
  <w:style w:type="paragraph" w:customStyle="1" w:styleId="BodyText226">
    <w:name w:val="Body Text 226"/>
    <w:basedOn w:val="Normlny"/>
    <w:pPr>
      <w:widowControl/>
      <w:ind w:firstLine="567"/>
    </w:pPr>
    <w:rPr>
      <w:color w:val="000000"/>
      <w:sz w:val="24"/>
    </w:rPr>
  </w:style>
  <w:style w:type="paragraph" w:customStyle="1" w:styleId="Zarkazkladnhotextu21">
    <w:name w:val="Zarážka základného textu 21"/>
    <w:basedOn w:val="Normlny"/>
    <w:pPr>
      <w:widowControl/>
      <w:ind w:firstLine="576"/>
      <w:jc w:val="left"/>
    </w:pPr>
    <w:rPr>
      <w:color w:val="000000"/>
      <w:sz w:val="24"/>
    </w:rPr>
  </w:style>
  <w:style w:type="paragraph" w:customStyle="1" w:styleId="BodyText225">
    <w:name w:val="Body Text 225"/>
    <w:basedOn w:val="Normlny"/>
    <w:rPr>
      <w:b/>
      <w:sz w:val="20"/>
    </w:rPr>
  </w:style>
  <w:style w:type="paragraph" w:customStyle="1" w:styleId="BodyText224">
    <w:name w:val="Body Text 224"/>
    <w:basedOn w:val="Normlny"/>
    <w:rPr>
      <w:sz w:val="21"/>
    </w:rPr>
  </w:style>
  <w:style w:type="paragraph" w:customStyle="1" w:styleId="BodyText223">
    <w:name w:val="Body Text 223"/>
    <w:basedOn w:val="Normlny"/>
    <w:pPr>
      <w:widowControl/>
    </w:pPr>
    <w:rPr>
      <w:lang w:val="cs-CZ"/>
    </w:rPr>
  </w:style>
  <w:style w:type="paragraph" w:styleId="Nzov">
    <w:name w:val="Title"/>
    <w:basedOn w:val="Normlny"/>
    <w:qFormat/>
    <w:pPr>
      <w:jc w:val="center"/>
    </w:pPr>
    <w:rPr>
      <w:b/>
      <w:caps/>
    </w:rPr>
  </w:style>
  <w:style w:type="paragraph" w:customStyle="1" w:styleId="BodyText222">
    <w:name w:val="Body Text 222"/>
    <w:basedOn w:val="Normlny"/>
    <w:rPr>
      <w:color w:val="FF0000"/>
    </w:rPr>
  </w:style>
  <w:style w:type="paragraph" w:customStyle="1" w:styleId="BodyText221">
    <w:name w:val="Body Text 221"/>
    <w:basedOn w:val="Normlny"/>
    <w:pPr>
      <w:ind w:firstLine="708"/>
    </w:pPr>
  </w:style>
  <w:style w:type="paragraph" w:styleId="Podtitul">
    <w:name w:val="Subtitle"/>
    <w:basedOn w:val="Normlny"/>
    <w:qFormat/>
    <w:rPr>
      <w:sz w:val="20"/>
      <w:u w:val="single"/>
    </w:rPr>
  </w:style>
  <w:style w:type="paragraph" w:customStyle="1" w:styleId="BodyText38">
    <w:name w:val="Body Text 38"/>
    <w:basedOn w:val="Normlny"/>
    <w:pPr>
      <w:widowControl/>
    </w:pPr>
    <w:rPr>
      <w:sz w:val="24"/>
    </w:rPr>
  </w:style>
  <w:style w:type="paragraph" w:customStyle="1" w:styleId="BodyText220">
    <w:name w:val="Body Text 220"/>
    <w:basedOn w:val="Normlny"/>
    <w:rPr>
      <w:i/>
    </w:rPr>
  </w:style>
  <w:style w:type="paragraph" w:customStyle="1" w:styleId="BodyText219">
    <w:name w:val="Body Text 219"/>
    <w:basedOn w:val="Normlny"/>
    <w:pPr>
      <w:widowControl/>
    </w:pPr>
    <w:rPr>
      <w:sz w:val="24"/>
      <w:lang w:val="cs-CZ"/>
    </w:rPr>
  </w:style>
  <w:style w:type="paragraph" w:customStyle="1" w:styleId="BodyText218">
    <w:name w:val="Body Text 218"/>
    <w:basedOn w:val="Normlny"/>
    <w:pPr>
      <w:widowControl/>
      <w:tabs>
        <w:tab w:val="left" w:pos="720"/>
      </w:tabs>
      <w:ind w:firstLine="708"/>
    </w:pPr>
    <w:rPr>
      <w:sz w:val="24"/>
    </w:rPr>
  </w:style>
  <w:style w:type="paragraph" w:customStyle="1" w:styleId="BodyTextIndent26">
    <w:name w:val="Body Text Indent 26"/>
    <w:basedOn w:val="Normlny"/>
    <w:pPr>
      <w:widowControl/>
      <w:ind w:firstLine="576"/>
      <w:jc w:val="left"/>
    </w:pPr>
    <w:rPr>
      <w:color w:val="000000"/>
      <w:sz w:val="24"/>
    </w:rPr>
  </w:style>
  <w:style w:type="paragraph" w:customStyle="1" w:styleId="BodyText217">
    <w:name w:val="Body Text 217"/>
    <w:basedOn w:val="Normlny"/>
    <w:pPr>
      <w:widowControl/>
      <w:jc w:val="left"/>
    </w:pPr>
    <w:rPr>
      <w:color w:val="0000FF"/>
      <w:sz w:val="24"/>
    </w:rPr>
  </w:style>
  <w:style w:type="paragraph" w:customStyle="1" w:styleId="BodyTextIndent25">
    <w:name w:val="Body Text Indent 25"/>
    <w:basedOn w:val="Normlny"/>
    <w:pPr>
      <w:ind w:firstLine="567"/>
    </w:pPr>
  </w:style>
  <w:style w:type="paragraph" w:customStyle="1" w:styleId="BodyText216">
    <w:name w:val="Body Text 216"/>
    <w:basedOn w:val="Normlny"/>
    <w:pPr>
      <w:widowControl/>
    </w:pPr>
    <w:rPr>
      <w:sz w:val="24"/>
    </w:rPr>
  </w:style>
  <w:style w:type="paragraph" w:customStyle="1" w:styleId="BodyText37">
    <w:name w:val="Body Text 37"/>
    <w:basedOn w:val="Normlny"/>
    <w:pPr>
      <w:widowControl/>
      <w:jc w:val="left"/>
    </w:pPr>
    <w:rPr>
      <w:color w:val="0000FF"/>
      <w:sz w:val="24"/>
    </w:rPr>
  </w:style>
  <w:style w:type="paragraph" w:customStyle="1" w:styleId="BodyText215">
    <w:name w:val="Body Text 215"/>
    <w:basedOn w:val="Normlny"/>
    <w:pPr>
      <w:jc w:val="left"/>
    </w:pPr>
    <w:rPr>
      <w:b/>
      <w:sz w:val="20"/>
    </w:rPr>
  </w:style>
  <w:style w:type="paragraph" w:customStyle="1" w:styleId="BodyTextIndent24">
    <w:name w:val="Body Text Indent 24"/>
    <w:basedOn w:val="Normlny"/>
    <w:pPr>
      <w:widowControl/>
      <w:ind w:firstLine="576"/>
      <w:jc w:val="left"/>
    </w:pPr>
    <w:rPr>
      <w:color w:val="000000"/>
      <w:sz w:val="24"/>
    </w:rPr>
  </w:style>
  <w:style w:type="character" w:customStyle="1" w:styleId="Siln1">
    <w:name w:val="Silný1"/>
    <w:rPr>
      <w:b/>
    </w:rPr>
  </w:style>
  <w:style w:type="paragraph" w:customStyle="1" w:styleId="BodyText36">
    <w:name w:val="Body Text 36"/>
    <w:basedOn w:val="Normlny"/>
    <w:pPr>
      <w:widowControl/>
      <w:jc w:val="left"/>
    </w:pPr>
    <w:rPr>
      <w:color w:val="0000FF"/>
      <w:sz w:val="24"/>
    </w:rPr>
  </w:style>
  <w:style w:type="paragraph" w:customStyle="1" w:styleId="BodyText214">
    <w:name w:val="Body Text 214"/>
    <w:basedOn w:val="Normlny"/>
    <w:pPr>
      <w:widowControl/>
    </w:pPr>
    <w:rPr>
      <w:sz w:val="24"/>
    </w:rPr>
  </w:style>
  <w:style w:type="paragraph" w:customStyle="1" w:styleId="BodyText213">
    <w:name w:val="Body Text 213"/>
    <w:basedOn w:val="Normlny"/>
    <w:rPr>
      <w:color w:val="000000"/>
      <w:sz w:val="21"/>
    </w:rPr>
  </w:style>
  <w:style w:type="paragraph" w:customStyle="1" w:styleId="BodyText212">
    <w:name w:val="Body Text 212"/>
    <w:basedOn w:val="Normlny"/>
    <w:rPr>
      <w:rFonts w:ascii="Arial" w:hAnsi="Arial"/>
      <w:sz w:val="20"/>
    </w:rPr>
  </w:style>
  <w:style w:type="paragraph" w:customStyle="1" w:styleId="BodyText210">
    <w:name w:val="Body Text 210"/>
    <w:basedOn w:val="Normlny"/>
    <w:pPr>
      <w:widowControl/>
    </w:pPr>
    <w:rPr>
      <w:rFonts w:ascii="Arial" w:hAnsi="Arial"/>
      <w:sz w:val="24"/>
    </w:rPr>
  </w:style>
  <w:style w:type="paragraph" w:customStyle="1" w:styleId="BodyText35">
    <w:name w:val="Body Text 35"/>
    <w:basedOn w:val="Normlny"/>
    <w:pPr>
      <w:widowControl/>
    </w:pPr>
    <w:rPr>
      <w:rFonts w:ascii="Arial" w:hAnsi="Arial"/>
      <w:color w:val="0000FF"/>
      <w:sz w:val="24"/>
    </w:rPr>
  </w:style>
  <w:style w:type="paragraph" w:customStyle="1" w:styleId="BodyText34">
    <w:name w:val="Body Text 34"/>
    <w:basedOn w:val="Normlny"/>
    <w:pPr>
      <w:widowControl/>
    </w:pPr>
    <w:rPr>
      <w:rFonts w:ascii="Arial" w:hAnsi="Arial"/>
      <w:color w:val="0000FF"/>
      <w:sz w:val="24"/>
    </w:rPr>
  </w:style>
  <w:style w:type="paragraph" w:customStyle="1" w:styleId="BodyTextIndent23">
    <w:name w:val="Body Text Indent 23"/>
    <w:basedOn w:val="Normlny"/>
    <w:pPr>
      <w:widowControl/>
      <w:ind w:firstLine="576"/>
      <w:jc w:val="left"/>
    </w:pPr>
    <w:rPr>
      <w:color w:val="000000"/>
      <w:sz w:val="24"/>
    </w:rPr>
  </w:style>
  <w:style w:type="paragraph" w:customStyle="1" w:styleId="BodyText29">
    <w:name w:val="Body Text 29"/>
    <w:basedOn w:val="Normlny"/>
    <w:pPr>
      <w:widowControl/>
    </w:pPr>
    <w:rPr>
      <w:rFonts w:ascii="Arial" w:hAnsi="Arial"/>
      <w:color w:val="FF0000"/>
      <w:sz w:val="24"/>
    </w:rPr>
  </w:style>
  <w:style w:type="paragraph" w:customStyle="1" w:styleId="BodyTextIndent22">
    <w:name w:val="Body Text Indent 22"/>
    <w:basedOn w:val="Normlny"/>
    <w:pPr>
      <w:widowControl/>
      <w:ind w:firstLine="576"/>
      <w:jc w:val="left"/>
    </w:pPr>
    <w:rPr>
      <w:color w:val="000000"/>
      <w:sz w:val="24"/>
    </w:rPr>
  </w:style>
  <w:style w:type="paragraph" w:customStyle="1" w:styleId="BodyText33">
    <w:name w:val="Body Text 33"/>
    <w:basedOn w:val="Normlny"/>
    <w:pPr>
      <w:widowControl/>
    </w:pPr>
    <w:rPr>
      <w:rFonts w:ascii="Arial" w:hAnsi="Arial"/>
      <w:color w:val="0000FF"/>
      <w:sz w:val="24"/>
    </w:rPr>
  </w:style>
  <w:style w:type="paragraph" w:customStyle="1" w:styleId="BodyText28">
    <w:name w:val="Body Text 28"/>
    <w:basedOn w:val="Normlny"/>
    <w:pPr>
      <w:widowControl/>
    </w:pPr>
    <w:rPr>
      <w:rFonts w:ascii="Arial" w:hAnsi="Arial"/>
      <w:sz w:val="24"/>
    </w:rPr>
  </w:style>
  <w:style w:type="character" w:styleId="Odkaznavysvetlivku">
    <w:name w:val="endnote reference"/>
    <w:semiHidden/>
    <w:rPr>
      <w:vertAlign w:val="superscript"/>
    </w:rPr>
  </w:style>
  <w:style w:type="paragraph" w:customStyle="1" w:styleId="BodyTextIndent21">
    <w:name w:val="Body Text Indent 21"/>
    <w:basedOn w:val="Normlny"/>
    <w:pPr>
      <w:widowControl/>
      <w:ind w:firstLine="576"/>
      <w:jc w:val="left"/>
    </w:pPr>
    <w:rPr>
      <w:color w:val="000000"/>
      <w:sz w:val="24"/>
    </w:rPr>
  </w:style>
  <w:style w:type="paragraph" w:customStyle="1" w:styleId="BodyText27">
    <w:name w:val="Body Text 27"/>
    <w:basedOn w:val="Normlny"/>
    <w:pPr>
      <w:widowControl/>
      <w:tabs>
        <w:tab w:val="left" w:pos="720"/>
      </w:tabs>
      <w:ind w:firstLine="708"/>
    </w:pPr>
    <w:rPr>
      <w:sz w:val="24"/>
    </w:rPr>
  </w:style>
  <w:style w:type="paragraph" w:customStyle="1" w:styleId="BodyText32">
    <w:name w:val="Body Text 32"/>
    <w:basedOn w:val="Normlny"/>
    <w:pPr>
      <w:widowControl/>
    </w:pPr>
    <w:rPr>
      <w:rFonts w:ascii="Arial" w:hAnsi="Arial"/>
      <w:sz w:val="24"/>
    </w:rPr>
  </w:style>
  <w:style w:type="paragraph" w:customStyle="1" w:styleId="BodyText31">
    <w:name w:val="Body Text 31"/>
    <w:basedOn w:val="Normlny"/>
    <w:pPr>
      <w:widowControl/>
    </w:pPr>
    <w:rPr>
      <w:rFonts w:ascii="Arial" w:hAnsi="Arial"/>
      <w:sz w:val="24"/>
    </w:rPr>
  </w:style>
  <w:style w:type="paragraph" w:customStyle="1" w:styleId="BodyText26">
    <w:name w:val="Body Text 26"/>
    <w:basedOn w:val="Normlny"/>
    <w:pPr>
      <w:widowControl/>
    </w:pPr>
    <w:rPr>
      <w:rFonts w:ascii="Arial" w:hAnsi="Arial"/>
    </w:rPr>
  </w:style>
  <w:style w:type="paragraph" w:customStyle="1" w:styleId="BodyText25">
    <w:name w:val="Body Text 25"/>
    <w:basedOn w:val="Normlny"/>
    <w:pPr>
      <w:widowControl/>
      <w:tabs>
        <w:tab w:val="left" w:pos="720"/>
      </w:tabs>
      <w:ind w:firstLine="708"/>
    </w:pPr>
    <w:rPr>
      <w:sz w:val="24"/>
    </w:rPr>
  </w:style>
  <w:style w:type="paragraph" w:customStyle="1" w:styleId="aVS">
    <w:name w:val="aVS"/>
    <w:basedOn w:val="Normlny"/>
    <w:pPr>
      <w:spacing w:after="120"/>
    </w:pPr>
    <w:rPr>
      <w:rFonts w:ascii="Arial" w:hAnsi="Arial"/>
      <w:sz w:val="21"/>
    </w:rPr>
  </w:style>
  <w:style w:type="paragraph" w:customStyle="1" w:styleId="BodyText24">
    <w:name w:val="Body Text 24"/>
    <w:basedOn w:val="Normlny"/>
    <w:pPr>
      <w:ind w:firstLine="284"/>
    </w:pPr>
    <w:rPr>
      <w:rFonts w:ascii="Arial" w:hAnsi="Arial"/>
    </w:rPr>
  </w:style>
  <w:style w:type="paragraph" w:customStyle="1" w:styleId="BodyText23">
    <w:name w:val="Body Text 23"/>
    <w:basedOn w:val="Normlny"/>
    <w:pPr>
      <w:widowControl/>
      <w:ind w:firstLine="708"/>
    </w:pPr>
    <w:rPr>
      <w:rFonts w:ascii="Arial" w:hAnsi="Arial"/>
      <w:sz w:val="24"/>
    </w:rPr>
  </w:style>
  <w:style w:type="paragraph" w:customStyle="1" w:styleId="BodyText22">
    <w:name w:val="Body Text 22"/>
    <w:basedOn w:val="Normlny"/>
    <w:pPr>
      <w:widowControl/>
      <w:ind w:firstLine="709"/>
    </w:pPr>
    <w:rPr>
      <w:rFonts w:ascii="Arial" w:hAnsi="Arial"/>
      <w:color w:val="000000"/>
      <w:sz w:val="24"/>
    </w:rPr>
  </w:style>
  <w:style w:type="paragraph" w:customStyle="1" w:styleId="BodyText21">
    <w:name w:val="Body Text 21"/>
    <w:basedOn w:val="Normlny"/>
    <w:pPr>
      <w:widowControl/>
      <w:ind w:firstLine="708"/>
    </w:pPr>
    <w:rPr>
      <w:sz w:val="25"/>
    </w:rPr>
  </w:style>
  <w:style w:type="character" w:customStyle="1" w:styleId="TextpoznmkypodiarouChar">
    <w:name w:val="Text poznámky pod čiarou Char"/>
    <w:link w:val="Textpoznmkypodiarou"/>
    <w:uiPriority w:val="99"/>
    <w:semiHidden/>
    <w:rsid w:val="00626EC3"/>
    <w:rPr>
      <w:rFonts w:ascii="Arial" w:hAnsi="Arial"/>
      <w:sz w:val="16"/>
    </w:rPr>
  </w:style>
  <w:style w:type="character" w:customStyle="1" w:styleId="HlavikaChar">
    <w:name w:val="Hlavička Char"/>
    <w:link w:val="Hlavika"/>
    <w:uiPriority w:val="99"/>
    <w:rsid w:val="009F1A2D"/>
    <w:rPr>
      <w:sz w:val="22"/>
    </w:rPr>
  </w:style>
  <w:style w:type="paragraph" w:styleId="Zarkazkladnhotextu3">
    <w:name w:val="Body Text Indent 3"/>
    <w:basedOn w:val="Normlny"/>
    <w:link w:val="Zarkazkladnhotextu3Char"/>
    <w:uiPriority w:val="99"/>
    <w:unhideWhenUsed/>
    <w:rsid w:val="00553339"/>
    <w:pPr>
      <w:spacing w:after="120"/>
      <w:ind w:left="283"/>
    </w:pPr>
    <w:rPr>
      <w:sz w:val="16"/>
      <w:szCs w:val="16"/>
    </w:rPr>
  </w:style>
  <w:style w:type="character" w:customStyle="1" w:styleId="Zarkazkladnhotextu3Char">
    <w:name w:val="Zarážka základného textu 3 Char"/>
    <w:link w:val="Zarkazkladnhotextu3"/>
    <w:uiPriority w:val="99"/>
    <w:rsid w:val="00553339"/>
    <w:rPr>
      <w:sz w:val="16"/>
      <w:szCs w:val="16"/>
    </w:rPr>
  </w:style>
  <w:style w:type="paragraph" w:customStyle="1" w:styleId="BodyText211">
    <w:name w:val="Body Text 211"/>
    <w:basedOn w:val="Normlny"/>
    <w:rsid w:val="00300971"/>
    <w:rPr>
      <w:rFonts w:ascii="Arial" w:hAnsi="Arial"/>
      <w:sz w:val="20"/>
    </w:rPr>
  </w:style>
  <w:style w:type="paragraph" w:styleId="Zarkazkladnhotextu">
    <w:name w:val="Body Text Indent"/>
    <w:basedOn w:val="Normlny"/>
    <w:link w:val="ZarkazkladnhotextuChar"/>
    <w:uiPriority w:val="99"/>
    <w:unhideWhenUsed/>
    <w:rsid w:val="005152ED"/>
    <w:pPr>
      <w:spacing w:after="120"/>
      <w:ind w:left="283"/>
    </w:pPr>
  </w:style>
  <w:style w:type="character" w:customStyle="1" w:styleId="ZarkazkladnhotextuChar">
    <w:name w:val="Zarážka základného textu Char"/>
    <w:link w:val="Zarkazkladnhotextu"/>
    <w:uiPriority w:val="99"/>
    <w:rsid w:val="005152ED"/>
    <w:rPr>
      <w:sz w:val="22"/>
    </w:rPr>
  </w:style>
  <w:style w:type="paragraph" w:styleId="Textvysvetlivky">
    <w:name w:val="endnote text"/>
    <w:basedOn w:val="Normlny"/>
    <w:link w:val="TextvysvetlivkyChar"/>
    <w:uiPriority w:val="99"/>
    <w:semiHidden/>
    <w:unhideWhenUsed/>
    <w:rsid w:val="00CA5EF6"/>
    <w:rPr>
      <w:sz w:val="20"/>
    </w:rPr>
  </w:style>
  <w:style w:type="character" w:customStyle="1" w:styleId="TextvysvetlivkyChar">
    <w:name w:val="Text vysvetlivky Char"/>
    <w:basedOn w:val="Predvolenpsmoodseku"/>
    <w:link w:val="Textvysvetlivky"/>
    <w:uiPriority w:val="99"/>
    <w:semiHidden/>
    <w:rsid w:val="00CA5EF6"/>
  </w:style>
  <w:style w:type="paragraph" w:styleId="Textbubliny">
    <w:name w:val="Balloon Text"/>
    <w:basedOn w:val="Normlny"/>
    <w:link w:val="TextbublinyChar"/>
    <w:uiPriority w:val="99"/>
    <w:semiHidden/>
    <w:unhideWhenUsed/>
    <w:rsid w:val="00774D1E"/>
    <w:rPr>
      <w:rFonts w:ascii="Tahoma" w:hAnsi="Tahoma" w:cs="Tahoma"/>
      <w:sz w:val="16"/>
      <w:szCs w:val="16"/>
    </w:rPr>
  </w:style>
  <w:style w:type="character" w:customStyle="1" w:styleId="TextbublinyChar">
    <w:name w:val="Text bubliny Char"/>
    <w:link w:val="Textbubliny"/>
    <w:uiPriority w:val="99"/>
    <w:semiHidden/>
    <w:rsid w:val="00774D1E"/>
    <w:rPr>
      <w:rFonts w:ascii="Tahoma" w:hAnsi="Tahoma" w:cs="Tahoma"/>
      <w:sz w:val="16"/>
      <w:szCs w:val="16"/>
    </w:rPr>
  </w:style>
  <w:style w:type="paragraph" w:customStyle="1" w:styleId="Zkladntext210">
    <w:name w:val="Základný text 21"/>
    <w:basedOn w:val="Normlny"/>
    <w:rsid w:val="00433327"/>
    <w:rPr>
      <w:sz w:val="21"/>
    </w:rPr>
  </w:style>
  <w:style w:type="character" w:styleId="Zvraznenie">
    <w:name w:val="Emphasis"/>
    <w:uiPriority w:val="20"/>
    <w:qFormat/>
    <w:rsid w:val="00BF33FE"/>
    <w:rPr>
      <w:i/>
      <w:iCs/>
    </w:rPr>
  </w:style>
  <w:style w:type="character" w:styleId="Odkaznakomentr">
    <w:name w:val="annotation reference"/>
    <w:uiPriority w:val="99"/>
    <w:semiHidden/>
    <w:unhideWhenUsed/>
    <w:rsid w:val="00BE79B5"/>
    <w:rPr>
      <w:sz w:val="16"/>
      <w:szCs w:val="16"/>
    </w:rPr>
  </w:style>
  <w:style w:type="paragraph" w:styleId="Textkomentra">
    <w:name w:val="annotation text"/>
    <w:basedOn w:val="Normlny"/>
    <w:link w:val="TextkomentraChar"/>
    <w:uiPriority w:val="99"/>
    <w:unhideWhenUsed/>
    <w:rsid w:val="00BE79B5"/>
    <w:rPr>
      <w:sz w:val="20"/>
    </w:rPr>
  </w:style>
  <w:style w:type="character" w:customStyle="1" w:styleId="TextkomentraChar">
    <w:name w:val="Text komentára Char"/>
    <w:basedOn w:val="Predvolenpsmoodseku"/>
    <w:link w:val="Textkomentra"/>
    <w:uiPriority w:val="99"/>
    <w:rsid w:val="00BE79B5"/>
  </w:style>
  <w:style w:type="paragraph" w:customStyle="1" w:styleId="xxmsonormal">
    <w:name w:val="x_x_msonormal"/>
    <w:basedOn w:val="Normlny"/>
    <w:rsid w:val="004043EE"/>
    <w:pPr>
      <w:widowControl/>
      <w:overflowPunct/>
      <w:autoSpaceDE/>
      <w:autoSpaceDN/>
      <w:adjustRightInd/>
      <w:jc w:val="left"/>
      <w:textAlignment w:val="auto"/>
    </w:pPr>
    <w:rPr>
      <w:rFonts w:eastAsia="Calibri"/>
      <w:sz w:val="24"/>
      <w:szCs w:val="24"/>
    </w:rPr>
  </w:style>
  <w:style w:type="paragraph" w:customStyle="1" w:styleId="Zkladntext22">
    <w:name w:val="Základný text 22"/>
    <w:basedOn w:val="Normlny"/>
    <w:rsid w:val="00BD51ED"/>
    <w:pPr>
      <w:widowControl/>
    </w:pPr>
    <w:rPr>
      <w:color w:val="FF0000"/>
      <w:sz w:val="23"/>
    </w:rPr>
  </w:style>
  <w:style w:type="paragraph" w:customStyle="1" w:styleId="Zkladntext23">
    <w:name w:val="Základný text 23"/>
    <w:basedOn w:val="Normlny"/>
    <w:rsid w:val="00F029E2"/>
    <w:pPr>
      <w:spacing w:after="120"/>
      <w:ind w:left="283"/>
    </w:pPr>
  </w:style>
  <w:style w:type="paragraph" w:customStyle="1" w:styleId="Normlnywebov2">
    <w:name w:val="Normálny (webový)2"/>
    <w:basedOn w:val="Normlny"/>
    <w:rsid w:val="00F029E2"/>
    <w:pPr>
      <w:widowControl/>
      <w:spacing w:before="100" w:after="100"/>
      <w:jc w:val="left"/>
    </w:pPr>
    <w:rPr>
      <w:rFonts w:ascii="Arial Unicode MS" w:eastAsia="Arial Unicode MS"/>
      <w:sz w:val="24"/>
      <w:lang w:val="cs-CZ"/>
    </w:rPr>
  </w:style>
  <w:style w:type="character" w:customStyle="1" w:styleId="Zvraznenie2">
    <w:name w:val="Zvýraznenie2"/>
    <w:rsid w:val="00F029E2"/>
    <w:rPr>
      <w:i/>
    </w:rPr>
  </w:style>
  <w:style w:type="paragraph" w:customStyle="1" w:styleId="Zkladntext32">
    <w:name w:val="Základný text 32"/>
    <w:basedOn w:val="Normlny"/>
    <w:rsid w:val="00F029E2"/>
    <w:rPr>
      <w:color w:val="000000"/>
    </w:rPr>
  </w:style>
  <w:style w:type="paragraph" w:customStyle="1" w:styleId="Zarkazkladnhotextu22">
    <w:name w:val="Zarážka základného textu 22"/>
    <w:basedOn w:val="Normlny"/>
    <w:rsid w:val="00F029E2"/>
    <w:pPr>
      <w:widowControl/>
      <w:ind w:firstLine="576"/>
      <w:jc w:val="left"/>
    </w:pPr>
    <w:rPr>
      <w:color w:val="000000"/>
      <w:sz w:val="24"/>
    </w:rPr>
  </w:style>
  <w:style w:type="character" w:customStyle="1" w:styleId="Siln2">
    <w:name w:val="Silný2"/>
    <w:rsid w:val="00F029E2"/>
    <w:rPr>
      <w:b/>
    </w:rPr>
  </w:style>
  <w:style w:type="paragraph" w:styleId="Normlnywebov">
    <w:name w:val="Normal (Web)"/>
    <w:basedOn w:val="Normlny"/>
    <w:unhideWhenUsed/>
    <w:rsid w:val="00F029E2"/>
    <w:pPr>
      <w:widowControl/>
      <w:overflowPunct/>
      <w:autoSpaceDE/>
      <w:autoSpaceDN/>
      <w:adjustRightInd/>
      <w:spacing w:before="100" w:beforeAutospacing="1" w:after="100" w:afterAutospacing="1"/>
      <w:jc w:val="left"/>
      <w:textAlignment w:val="auto"/>
    </w:pPr>
    <w:rPr>
      <w:sz w:val="24"/>
      <w:szCs w:val="24"/>
    </w:rPr>
  </w:style>
  <w:style w:type="character" w:customStyle="1" w:styleId="Nadpis2Char">
    <w:name w:val="Nadpis 2 Char"/>
    <w:basedOn w:val="Predvolenpsmoodseku"/>
    <w:link w:val="Nadpis2"/>
    <w:rsid w:val="00357399"/>
    <w:rPr>
      <w:rFonts w:ascii="Arial" w:hAnsi="Arial"/>
      <w:b/>
      <w:sz w:val="24"/>
    </w:rPr>
  </w:style>
  <w:style w:type="paragraph" w:styleId="Popis">
    <w:name w:val="caption"/>
    <w:basedOn w:val="Normlny"/>
    <w:next w:val="Normlny"/>
    <w:qFormat/>
    <w:rsid w:val="002628BD"/>
    <w:pPr>
      <w:spacing w:before="120" w:after="120"/>
    </w:pPr>
    <w:rPr>
      <w:rFonts w:ascii="Arial" w:hAnsi="Arial"/>
      <w:b/>
      <w:szCs w:val="22"/>
    </w:rPr>
  </w:style>
  <w:style w:type="paragraph" w:styleId="Predmetkomentra">
    <w:name w:val="annotation subject"/>
    <w:basedOn w:val="Textkomentra"/>
    <w:next w:val="Textkomentra"/>
    <w:link w:val="PredmetkomentraChar"/>
    <w:uiPriority w:val="99"/>
    <w:semiHidden/>
    <w:unhideWhenUsed/>
    <w:rsid w:val="00D03395"/>
    <w:rPr>
      <w:b/>
      <w:bCs/>
    </w:rPr>
  </w:style>
  <w:style w:type="character" w:customStyle="1" w:styleId="PredmetkomentraChar">
    <w:name w:val="Predmet komentára Char"/>
    <w:basedOn w:val="TextkomentraChar"/>
    <w:link w:val="Predmetkomentra"/>
    <w:uiPriority w:val="99"/>
    <w:semiHidden/>
    <w:rsid w:val="00D03395"/>
    <w:rPr>
      <w:b/>
      <w:bCs/>
    </w:rPr>
  </w:style>
  <w:style w:type="character" w:styleId="Vrazn">
    <w:name w:val="Strong"/>
    <w:basedOn w:val="Predvolenpsmoodseku"/>
    <w:uiPriority w:val="22"/>
    <w:qFormat/>
    <w:rsid w:val="003926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1907">
      <w:bodyDiv w:val="1"/>
      <w:marLeft w:val="0"/>
      <w:marRight w:val="0"/>
      <w:marTop w:val="0"/>
      <w:marBottom w:val="0"/>
      <w:divBdr>
        <w:top w:val="none" w:sz="0" w:space="0" w:color="auto"/>
        <w:left w:val="none" w:sz="0" w:space="0" w:color="auto"/>
        <w:bottom w:val="none" w:sz="0" w:space="0" w:color="auto"/>
        <w:right w:val="none" w:sz="0" w:space="0" w:color="auto"/>
      </w:divBdr>
    </w:div>
    <w:div w:id="91558072">
      <w:bodyDiv w:val="1"/>
      <w:marLeft w:val="0"/>
      <w:marRight w:val="0"/>
      <w:marTop w:val="0"/>
      <w:marBottom w:val="0"/>
      <w:divBdr>
        <w:top w:val="none" w:sz="0" w:space="0" w:color="auto"/>
        <w:left w:val="none" w:sz="0" w:space="0" w:color="auto"/>
        <w:bottom w:val="none" w:sz="0" w:space="0" w:color="auto"/>
        <w:right w:val="none" w:sz="0" w:space="0" w:color="auto"/>
      </w:divBdr>
    </w:div>
    <w:div w:id="101150181">
      <w:bodyDiv w:val="1"/>
      <w:marLeft w:val="0"/>
      <w:marRight w:val="0"/>
      <w:marTop w:val="0"/>
      <w:marBottom w:val="0"/>
      <w:divBdr>
        <w:top w:val="none" w:sz="0" w:space="0" w:color="auto"/>
        <w:left w:val="none" w:sz="0" w:space="0" w:color="auto"/>
        <w:bottom w:val="none" w:sz="0" w:space="0" w:color="auto"/>
        <w:right w:val="none" w:sz="0" w:space="0" w:color="auto"/>
      </w:divBdr>
    </w:div>
    <w:div w:id="129136786">
      <w:bodyDiv w:val="1"/>
      <w:marLeft w:val="0"/>
      <w:marRight w:val="0"/>
      <w:marTop w:val="0"/>
      <w:marBottom w:val="0"/>
      <w:divBdr>
        <w:top w:val="none" w:sz="0" w:space="0" w:color="auto"/>
        <w:left w:val="none" w:sz="0" w:space="0" w:color="auto"/>
        <w:bottom w:val="none" w:sz="0" w:space="0" w:color="auto"/>
        <w:right w:val="none" w:sz="0" w:space="0" w:color="auto"/>
      </w:divBdr>
    </w:div>
    <w:div w:id="213153603">
      <w:bodyDiv w:val="1"/>
      <w:marLeft w:val="0"/>
      <w:marRight w:val="0"/>
      <w:marTop w:val="0"/>
      <w:marBottom w:val="0"/>
      <w:divBdr>
        <w:top w:val="none" w:sz="0" w:space="0" w:color="auto"/>
        <w:left w:val="none" w:sz="0" w:space="0" w:color="auto"/>
        <w:bottom w:val="none" w:sz="0" w:space="0" w:color="auto"/>
        <w:right w:val="none" w:sz="0" w:space="0" w:color="auto"/>
      </w:divBdr>
    </w:div>
    <w:div w:id="232393989">
      <w:bodyDiv w:val="1"/>
      <w:marLeft w:val="0"/>
      <w:marRight w:val="0"/>
      <w:marTop w:val="0"/>
      <w:marBottom w:val="0"/>
      <w:divBdr>
        <w:top w:val="none" w:sz="0" w:space="0" w:color="auto"/>
        <w:left w:val="none" w:sz="0" w:space="0" w:color="auto"/>
        <w:bottom w:val="none" w:sz="0" w:space="0" w:color="auto"/>
        <w:right w:val="none" w:sz="0" w:space="0" w:color="auto"/>
      </w:divBdr>
    </w:div>
    <w:div w:id="235894750">
      <w:bodyDiv w:val="1"/>
      <w:marLeft w:val="0"/>
      <w:marRight w:val="0"/>
      <w:marTop w:val="0"/>
      <w:marBottom w:val="0"/>
      <w:divBdr>
        <w:top w:val="none" w:sz="0" w:space="0" w:color="auto"/>
        <w:left w:val="none" w:sz="0" w:space="0" w:color="auto"/>
        <w:bottom w:val="none" w:sz="0" w:space="0" w:color="auto"/>
        <w:right w:val="none" w:sz="0" w:space="0" w:color="auto"/>
      </w:divBdr>
    </w:div>
    <w:div w:id="297733487">
      <w:bodyDiv w:val="1"/>
      <w:marLeft w:val="0"/>
      <w:marRight w:val="0"/>
      <w:marTop w:val="0"/>
      <w:marBottom w:val="0"/>
      <w:divBdr>
        <w:top w:val="none" w:sz="0" w:space="0" w:color="auto"/>
        <w:left w:val="none" w:sz="0" w:space="0" w:color="auto"/>
        <w:bottom w:val="none" w:sz="0" w:space="0" w:color="auto"/>
        <w:right w:val="none" w:sz="0" w:space="0" w:color="auto"/>
      </w:divBdr>
    </w:div>
    <w:div w:id="352996118">
      <w:bodyDiv w:val="1"/>
      <w:marLeft w:val="0"/>
      <w:marRight w:val="0"/>
      <w:marTop w:val="0"/>
      <w:marBottom w:val="0"/>
      <w:divBdr>
        <w:top w:val="none" w:sz="0" w:space="0" w:color="auto"/>
        <w:left w:val="none" w:sz="0" w:space="0" w:color="auto"/>
        <w:bottom w:val="none" w:sz="0" w:space="0" w:color="auto"/>
        <w:right w:val="none" w:sz="0" w:space="0" w:color="auto"/>
      </w:divBdr>
    </w:div>
    <w:div w:id="380129484">
      <w:bodyDiv w:val="1"/>
      <w:marLeft w:val="0"/>
      <w:marRight w:val="0"/>
      <w:marTop w:val="0"/>
      <w:marBottom w:val="0"/>
      <w:divBdr>
        <w:top w:val="none" w:sz="0" w:space="0" w:color="auto"/>
        <w:left w:val="none" w:sz="0" w:space="0" w:color="auto"/>
        <w:bottom w:val="none" w:sz="0" w:space="0" w:color="auto"/>
        <w:right w:val="none" w:sz="0" w:space="0" w:color="auto"/>
      </w:divBdr>
    </w:div>
    <w:div w:id="493568811">
      <w:bodyDiv w:val="1"/>
      <w:marLeft w:val="0"/>
      <w:marRight w:val="0"/>
      <w:marTop w:val="0"/>
      <w:marBottom w:val="0"/>
      <w:divBdr>
        <w:top w:val="none" w:sz="0" w:space="0" w:color="auto"/>
        <w:left w:val="none" w:sz="0" w:space="0" w:color="auto"/>
        <w:bottom w:val="none" w:sz="0" w:space="0" w:color="auto"/>
        <w:right w:val="none" w:sz="0" w:space="0" w:color="auto"/>
      </w:divBdr>
    </w:div>
    <w:div w:id="530531077">
      <w:bodyDiv w:val="1"/>
      <w:marLeft w:val="0"/>
      <w:marRight w:val="0"/>
      <w:marTop w:val="0"/>
      <w:marBottom w:val="0"/>
      <w:divBdr>
        <w:top w:val="none" w:sz="0" w:space="0" w:color="auto"/>
        <w:left w:val="none" w:sz="0" w:space="0" w:color="auto"/>
        <w:bottom w:val="none" w:sz="0" w:space="0" w:color="auto"/>
        <w:right w:val="none" w:sz="0" w:space="0" w:color="auto"/>
      </w:divBdr>
    </w:div>
    <w:div w:id="644119839">
      <w:bodyDiv w:val="1"/>
      <w:marLeft w:val="0"/>
      <w:marRight w:val="0"/>
      <w:marTop w:val="0"/>
      <w:marBottom w:val="0"/>
      <w:divBdr>
        <w:top w:val="none" w:sz="0" w:space="0" w:color="auto"/>
        <w:left w:val="none" w:sz="0" w:space="0" w:color="auto"/>
        <w:bottom w:val="none" w:sz="0" w:space="0" w:color="auto"/>
        <w:right w:val="none" w:sz="0" w:space="0" w:color="auto"/>
      </w:divBdr>
    </w:div>
    <w:div w:id="1461921576">
      <w:bodyDiv w:val="1"/>
      <w:marLeft w:val="0"/>
      <w:marRight w:val="0"/>
      <w:marTop w:val="0"/>
      <w:marBottom w:val="0"/>
      <w:divBdr>
        <w:top w:val="none" w:sz="0" w:space="0" w:color="auto"/>
        <w:left w:val="none" w:sz="0" w:space="0" w:color="auto"/>
        <w:bottom w:val="none" w:sz="0" w:space="0" w:color="auto"/>
        <w:right w:val="none" w:sz="0" w:space="0" w:color="auto"/>
      </w:divBdr>
    </w:div>
    <w:div w:id="1724404941">
      <w:bodyDiv w:val="1"/>
      <w:marLeft w:val="0"/>
      <w:marRight w:val="0"/>
      <w:marTop w:val="0"/>
      <w:marBottom w:val="0"/>
      <w:divBdr>
        <w:top w:val="none" w:sz="0" w:space="0" w:color="auto"/>
        <w:left w:val="none" w:sz="0" w:space="0" w:color="auto"/>
        <w:bottom w:val="none" w:sz="0" w:space="0" w:color="auto"/>
        <w:right w:val="none" w:sz="0" w:space="0" w:color="auto"/>
      </w:divBdr>
    </w:div>
    <w:div w:id="1732774615">
      <w:bodyDiv w:val="1"/>
      <w:marLeft w:val="0"/>
      <w:marRight w:val="0"/>
      <w:marTop w:val="0"/>
      <w:marBottom w:val="0"/>
      <w:divBdr>
        <w:top w:val="none" w:sz="0" w:space="0" w:color="auto"/>
        <w:left w:val="none" w:sz="0" w:space="0" w:color="auto"/>
        <w:bottom w:val="none" w:sz="0" w:space="0" w:color="auto"/>
        <w:right w:val="none" w:sz="0" w:space="0" w:color="auto"/>
      </w:divBdr>
    </w:div>
    <w:div w:id="1735468144">
      <w:bodyDiv w:val="1"/>
      <w:marLeft w:val="0"/>
      <w:marRight w:val="0"/>
      <w:marTop w:val="0"/>
      <w:marBottom w:val="0"/>
      <w:divBdr>
        <w:top w:val="none" w:sz="0" w:space="0" w:color="auto"/>
        <w:left w:val="none" w:sz="0" w:space="0" w:color="auto"/>
        <w:bottom w:val="none" w:sz="0" w:space="0" w:color="auto"/>
        <w:right w:val="none" w:sz="0" w:space="0" w:color="auto"/>
      </w:divBdr>
    </w:div>
    <w:div w:id="1757441385">
      <w:bodyDiv w:val="1"/>
      <w:marLeft w:val="0"/>
      <w:marRight w:val="0"/>
      <w:marTop w:val="0"/>
      <w:marBottom w:val="0"/>
      <w:divBdr>
        <w:top w:val="none" w:sz="0" w:space="0" w:color="auto"/>
        <w:left w:val="none" w:sz="0" w:space="0" w:color="auto"/>
        <w:bottom w:val="none" w:sz="0" w:space="0" w:color="auto"/>
        <w:right w:val="none" w:sz="0" w:space="0" w:color="auto"/>
      </w:divBdr>
    </w:div>
    <w:div w:id="1868063844">
      <w:bodyDiv w:val="1"/>
      <w:marLeft w:val="0"/>
      <w:marRight w:val="0"/>
      <w:marTop w:val="0"/>
      <w:marBottom w:val="0"/>
      <w:divBdr>
        <w:top w:val="none" w:sz="0" w:space="0" w:color="auto"/>
        <w:left w:val="none" w:sz="0" w:space="0" w:color="auto"/>
        <w:bottom w:val="none" w:sz="0" w:space="0" w:color="auto"/>
        <w:right w:val="none" w:sz="0" w:space="0" w:color="auto"/>
      </w:divBdr>
    </w:div>
    <w:div w:id="2049837355">
      <w:bodyDiv w:val="1"/>
      <w:marLeft w:val="0"/>
      <w:marRight w:val="0"/>
      <w:marTop w:val="0"/>
      <w:marBottom w:val="0"/>
      <w:divBdr>
        <w:top w:val="none" w:sz="0" w:space="0" w:color="auto"/>
        <w:left w:val="none" w:sz="0" w:space="0" w:color="auto"/>
        <w:bottom w:val="none" w:sz="0" w:space="0" w:color="auto"/>
        <w:right w:val="none" w:sz="0" w:space="0" w:color="auto"/>
      </w:divBdr>
    </w:div>
    <w:div w:id="2129427258">
      <w:bodyDiv w:val="1"/>
      <w:marLeft w:val="0"/>
      <w:marRight w:val="0"/>
      <w:marTop w:val="0"/>
      <w:marBottom w:val="0"/>
      <w:divBdr>
        <w:top w:val="none" w:sz="0" w:space="0" w:color="auto"/>
        <w:left w:val="none" w:sz="0" w:space="0" w:color="auto"/>
        <w:bottom w:val="none" w:sz="0" w:space="0" w:color="auto"/>
        <w:right w:val="none" w:sz="0" w:space="0" w:color="auto"/>
      </w:divBdr>
    </w:div>
    <w:div w:id="213944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istics.sk" TargetMode="Externa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tistics.sk"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10.11.3.51\ulozisko600\01_VSEOBECNE_INFORMACIE\22A_STATISTICKA%20SPRAVA\&#352;TATISTICK&#193;%20SPR&#193;VA_publik&#225;cie\4Q2025_priprava\5.%20Grafy\Grafy_4Q202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0.11.3.51\ulozisko600\01_VSEOBECNE_INFORMACIE\22A_STATISTICKA%20SPRAVA\&#352;TATISTICK&#193;%20SPR&#193;VA_publik&#225;cie\4Q2025_priprava\5.%20Grafy\Grafy_4Q2025.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10.11.3.51\ulozisko600\01_VSEOBECNE_INFORMACIE\22A_STATISTICKA%20SPRAVA\&#352;TATISTICK&#193;%20SPR&#193;VA_publik&#225;cie\4Q2025_priprava\5.%20Grafy\Grafy_4Q2025.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10.11.3.51\ulozisko600\01_VSEOBECNE_INFORMACIE\22A_STATISTICKA%20SPRAVA\&#352;TATISTICK&#193;%20SPR&#193;VA_publik&#225;cie\4Q2025_priprava\5.%20Grafy\Grafy_4Q2025.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1" Type="http://schemas.openxmlformats.org/officeDocument/2006/relationships/oleObject" Target="file:///\\10.11.3.51\ulozisko600\01_VSEOBECNE_INFORMACIE\22A_STATISTICKA%20SPRAVA\&#352;TATISTICK&#193;%20SPR&#193;VA_publik&#225;cie\4Q2025_priprava\5.%20Grafy\Grafy_4Q2025.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10.11.3.51\ulozisko600\01_VSEOBECNE_INFORMACIE\22A_STATISTICKA%20SPRAVA\&#352;TATISTICK&#193;%20SPR&#193;VA_publik&#225;cie\4Q2025_priprava\5.%20Grafy\Grafy_4Q2025.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10.11.3.51\ulozisko600\01_VSEOBECNE_INFORMACIE\22A_STATISTICKA%20SPRAVA\&#352;TATISTICK&#193;%20SPR&#193;VA_publik&#225;cie\4Q2025_priprava\5.%20Grafy\Grafy_4Q202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rtl="0">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t>G1 Hrubý domáci produkt v stálych cenách</a:t>
            </a:r>
            <a:r>
              <a:rPr lang="en-US" sz="900" b="1"/>
              <a:t> </a:t>
            </a:r>
            <a:endParaRPr lang="sk-SK" sz="900" b="1"/>
          </a:p>
          <a:p>
            <a:pPr algn="l" rtl="0">
              <a:defRPr sz="900" b="1"/>
            </a:pPr>
            <a:r>
              <a:rPr lang="en-US" sz="900" b="1"/>
              <a:t>(medziročná zmena</a:t>
            </a:r>
            <a:r>
              <a:rPr lang="sk-SK" sz="900" b="1"/>
              <a:t> v %</a:t>
            </a:r>
            <a:r>
              <a:rPr lang="en-US" sz="900" b="1"/>
              <a:t>)</a:t>
            </a:r>
          </a:p>
        </c:rich>
      </c:tx>
      <c:layout>
        <c:manualLayout>
          <c:xMode val="edge"/>
          <c:yMode val="edge"/>
          <c:x val="2.535720655804696E-2"/>
          <c:y val="2.3121387283236993E-2"/>
        </c:manualLayout>
      </c:layout>
      <c:overlay val="0"/>
      <c:spPr>
        <a:noFill/>
        <a:ln>
          <a:noFill/>
        </a:ln>
        <a:effectLst/>
      </c:spPr>
      <c:txPr>
        <a:bodyPr rot="0" spcFirstLastPara="1" vertOverflow="ellipsis" vert="horz" wrap="square" anchor="ctr" anchorCtr="1"/>
        <a:lstStyle/>
        <a:p>
          <a:pPr algn="l" rtl="0">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manualLayout>
          <c:layoutTarget val="inner"/>
          <c:xMode val="edge"/>
          <c:yMode val="edge"/>
          <c:x val="9.2403095971602664E-2"/>
          <c:y val="0.18377649325626205"/>
          <c:w val="0.87835131054591498"/>
          <c:h val="0.62757179918984118"/>
        </c:manualLayout>
      </c:layout>
      <c:lineChart>
        <c:grouping val="standard"/>
        <c:varyColors val="0"/>
        <c:ser>
          <c:idx val="0"/>
          <c:order val="0"/>
          <c:tx>
            <c:strRef>
              <c:f>G1_HDP!$B$36</c:f>
              <c:strCache>
                <c:ptCount val="1"/>
                <c:pt idx="0">
                  <c:v>HDP (medziročná zmena, s. c. 2020)</c:v>
                </c:pt>
              </c:strCache>
            </c:strRef>
          </c:tx>
          <c:spPr>
            <a:ln w="28575" cap="rnd">
              <a:solidFill>
                <a:schemeClr val="accent6">
                  <a:lumMod val="75000"/>
                </a:schemeClr>
              </a:solidFill>
              <a:round/>
            </a:ln>
            <a:effectLst/>
          </c:spPr>
          <c:marker>
            <c:symbol val="none"/>
          </c:marker>
          <c:cat>
            <c:strRef>
              <c:f>G1_HDP!$C$35:$V$35</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G1_HDP!$C$36:$V$36</c:f>
              <c:numCache>
                <c:formatCode>0.0</c:formatCode>
                <c:ptCount val="20"/>
                <c:pt idx="0">
                  <c:v>2.5514541323648672</c:v>
                </c:pt>
                <c:pt idx="1">
                  <c:v>12.652844949295201</c:v>
                </c:pt>
                <c:pt idx="2">
                  <c:v>3.9342475619477142</c:v>
                </c:pt>
                <c:pt idx="3">
                  <c:v>3.9236721378665322</c:v>
                </c:pt>
                <c:pt idx="4">
                  <c:v>1.775582176023633</c:v>
                </c:pt>
                <c:pt idx="5">
                  <c:v>9.8327294058123016E-2</c:v>
                </c:pt>
                <c:pt idx="6">
                  <c:v>0.24009962396260676</c:v>
                </c:pt>
                <c:pt idx="7">
                  <c:v>0.20700896520666845</c:v>
                </c:pt>
                <c:pt idx="8">
                  <c:v>0.87967666830708424</c:v>
                </c:pt>
                <c:pt idx="9">
                  <c:v>2.2698138119818623</c:v>
                </c:pt>
                <c:pt idx="10">
                  <c:v>2.6398706034203627</c:v>
                </c:pt>
                <c:pt idx="11">
                  <c:v>2.5224054989088103</c:v>
                </c:pt>
                <c:pt idx="12">
                  <c:v>3.1008574208186985</c:v>
                </c:pt>
                <c:pt idx="13">
                  <c:v>2.0963010366334487</c:v>
                </c:pt>
                <c:pt idx="14">
                  <c:v>1.1762501049121568</c:v>
                </c:pt>
                <c:pt idx="15">
                  <c:v>1.5439723575236428</c:v>
                </c:pt>
                <c:pt idx="16">
                  <c:v>0.80438002682714682</c:v>
                </c:pt>
                <c:pt idx="17">
                  <c:v>0.52510222972259157</c:v>
                </c:pt>
                <c:pt idx="18">
                  <c:v>0.86804094972525547</c:v>
                </c:pt>
                <c:pt idx="19">
                  <c:v>1.0213935519463888</c:v>
                </c:pt>
              </c:numCache>
            </c:numRef>
          </c:val>
          <c:smooth val="0"/>
          <c:extLst>
            <c:ext xmlns:c16="http://schemas.microsoft.com/office/drawing/2014/chart" uri="{C3380CC4-5D6E-409C-BE32-E72D297353CC}">
              <c16:uniqueId val="{00000000-3DAD-4205-BA57-A9CB31576577}"/>
            </c:ext>
          </c:extLst>
        </c:ser>
        <c:dLbls>
          <c:showLegendKey val="0"/>
          <c:showVal val="0"/>
          <c:showCatName val="0"/>
          <c:showSerName val="0"/>
          <c:showPercent val="0"/>
          <c:showBubbleSize val="0"/>
        </c:dLbls>
        <c:smooth val="0"/>
        <c:axId val="1795225296"/>
        <c:axId val="1795220496"/>
      </c:lineChart>
      <c:catAx>
        <c:axId val="179522529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795220496"/>
        <c:crosses val="autoZero"/>
        <c:auto val="1"/>
        <c:lblAlgn val="ctr"/>
        <c:lblOffset val="100"/>
        <c:noMultiLvlLbl val="0"/>
      </c:catAx>
      <c:valAx>
        <c:axId val="179522049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79522529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latin typeface="Arial" panose="020B0604020202020204" pitchFamily="34" charset="0"/>
          <a:cs typeface="Arial" panose="020B0604020202020204" pitchFamily="34" charset="0"/>
        </a:defRPr>
      </a:pPr>
      <a:endParaRPr lang="sk-SK"/>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Arial"/>
                <a:ea typeface="Arial"/>
                <a:cs typeface="Arial"/>
              </a:defRPr>
            </a:pPr>
            <a:r>
              <a:rPr lang="sk-SK" sz="900"/>
              <a:t>G2. Hrubý domáci produkt podľa zložiek výdavkov v bežných cenách</a:t>
            </a:r>
          </a:p>
        </c:rich>
      </c:tx>
      <c:layout>
        <c:manualLayout>
          <c:xMode val="edge"/>
          <c:yMode val="edge"/>
          <c:x val="4.1541931859156593E-4"/>
          <c:y val="1.0894938132733409E-2"/>
        </c:manualLayout>
      </c:layout>
      <c:overlay val="0"/>
      <c:spPr>
        <a:noFill/>
        <a:ln w="25400">
          <a:noFill/>
        </a:ln>
      </c:spPr>
    </c:title>
    <c:autoTitleDeleted val="0"/>
    <c:plotArea>
      <c:layout>
        <c:manualLayout>
          <c:layoutTarget val="inner"/>
          <c:xMode val="edge"/>
          <c:yMode val="edge"/>
          <c:x val="4.3973941368078175E-2"/>
          <c:y val="0.19446419197600301"/>
          <c:w val="0.66720955483170463"/>
          <c:h val="0.65079835020622434"/>
        </c:manualLayout>
      </c:layout>
      <c:barChart>
        <c:barDir val="col"/>
        <c:grouping val="clustered"/>
        <c:varyColors val="0"/>
        <c:ser>
          <c:idx val="3"/>
          <c:order val="1"/>
          <c:tx>
            <c:strRef>
              <c:f>'G2 HDP vydavky'!$B$31</c:f>
              <c:strCache>
                <c:ptCount val="1"/>
                <c:pt idx="0">
                  <c:v>konečná spotreba domácností </c:v>
                </c:pt>
              </c:strCache>
            </c:strRef>
          </c:tx>
          <c:spPr>
            <a:solidFill>
              <a:srgbClr val="174773"/>
            </a:solidFill>
            <a:ln w="12700">
              <a:noFill/>
              <a:prstDash val="solid"/>
            </a:ln>
            <a:effectLst/>
          </c:spPr>
          <c:invertIfNegative val="0"/>
          <c:cat>
            <c:strRef>
              <c:f>'G2 HDP vydavky'!$C$29:$V$29</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'G2 HDP vydavky'!$C$31:$V$31</c:f>
              <c:numCache>
                <c:formatCode>#\ ##0.0_)</c:formatCode>
                <c:ptCount val="20"/>
                <c:pt idx="0">
                  <c:v>12671.124</c:v>
                </c:pt>
                <c:pt idx="1">
                  <c:v>14069.72</c:v>
                </c:pt>
                <c:pt idx="2">
                  <c:v>14879.65</c:v>
                </c:pt>
                <c:pt idx="3">
                  <c:v>15016.938</c:v>
                </c:pt>
                <c:pt idx="4">
                  <c:v>15242.88</c:v>
                </c:pt>
                <c:pt idx="5">
                  <c:v>16407.098999999998</c:v>
                </c:pt>
                <c:pt idx="6">
                  <c:v>17063.36</c:v>
                </c:pt>
                <c:pt idx="7">
                  <c:v>17511.376</c:v>
                </c:pt>
                <c:pt idx="8">
                  <c:v>17070.754000000001</c:v>
                </c:pt>
                <c:pt idx="9">
                  <c:v>17560.016</c:v>
                </c:pt>
                <c:pt idx="10">
                  <c:v>18045.203000000001</c:v>
                </c:pt>
                <c:pt idx="11">
                  <c:v>17896.828000000001</c:v>
                </c:pt>
                <c:pt idx="12">
                  <c:v>18132.598999999998</c:v>
                </c:pt>
                <c:pt idx="13">
                  <c:v>18571.901000000002</c:v>
                </c:pt>
                <c:pt idx="14">
                  <c:v>19169.650000000001</c:v>
                </c:pt>
                <c:pt idx="15">
                  <c:v>19492.662</c:v>
                </c:pt>
                <c:pt idx="16">
                  <c:v>19004.330999999998</c:v>
                </c:pt>
                <c:pt idx="17">
                  <c:v>19673.437000000002</c:v>
                </c:pt>
                <c:pt idx="18">
                  <c:v>20075.455999999998</c:v>
                </c:pt>
                <c:pt idx="19">
                  <c:v>20042.476999999999</c:v>
                </c:pt>
              </c:numCache>
            </c:numRef>
          </c:val>
          <c:extLst>
            <c:ext xmlns:c16="http://schemas.microsoft.com/office/drawing/2014/chart" uri="{C3380CC4-5D6E-409C-BE32-E72D297353CC}">
              <c16:uniqueId val="{00000000-D09E-4A06-B99E-CAAD5810B104}"/>
            </c:ext>
          </c:extLst>
        </c:ser>
        <c:ser>
          <c:idx val="4"/>
          <c:order val="2"/>
          <c:tx>
            <c:strRef>
              <c:f>'G2 HDP vydavky'!$B$32</c:f>
              <c:strCache>
                <c:ptCount val="1"/>
                <c:pt idx="0">
                  <c:v>konečná spotreba verejnej správy </c:v>
                </c:pt>
              </c:strCache>
            </c:strRef>
          </c:tx>
          <c:spPr>
            <a:solidFill>
              <a:srgbClr val="65A6E1"/>
            </a:solidFill>
            <a:ln w="12700">
              <a:noFill/>
              <a:prstDash val="solid"/>
            </a:ln>
          </c:spPr>
          <c:invertIfNegative val="0"/>
          <c:cat>
            <c:strRef>
              <c:f>'G2 HDP vydavky'!$C$29:$V$29</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'G2 HDP vydavky'!$C$32:$V$32</c:f>
              <c:numCache>
                <c:formatCode>#\ ##0.0_)</c:formatCode>
                <c:ptCount val="20"/>
                <c:pt idx="0">
                  <c:v>4642.4380000000001</c:v>
                </c:pt>
                <c:pt idx="1">
                  <c:v>5203.6009999999997</c:v>
                </c:pt>
                <c:pt idx="2">
                  <c:v>5095.0050000000001</c:v>
                </c:pt>
                <c:pt idx="3">
                  <c:v>6643.3530000000001</c:v>
                </c:pt>
                <c:pt idx="4">
                  <c:v>5122.616</c:v>
                </c:pt>
                <c:pt idx="5">
                  <c:v>5481.7979999999998</c:v>
                </c:pt>
                <c:pt idx="6">
                  <c:v>5684.6549999999997</c:v>
                </c:pt>
                <c:pt idx="7">
                  <c:v>7078.0169999999998</c:v>
                </c:pt>
                <c:pt idx="8">
                  <c:v>5499.1130000000003</c:v>
                </c:pt>
                <c:pt idx="9">
                  <c:v>5844.6580000000004</c:v>
                </c:pt>
                <c:pt idx="10">
                  <c:v>6080.8729999999996</c:v>
                </c:pt>
                <c:pt idx="11">
                  <c:v>7683.1019999999999</c:v>
                </c:pt>
                <c:pt idx="12">
                  <c:v>5958.9859999999999</c:v>
                </c:pt>
                <c:pt idx="13">
                  <c:v>6532.808</c:v>
                </c:pt>
                <c:pt idx="14">
                  <c:v>6606.8559999999998</c:v>
                </c:pt>
                <c:pt idx="15">
                  <c:v>8394.3549999999996</c:v>
                </c:pt>
                <c:pt idx="16">
                  <c:v>6306.076</c:v>
                </c:pt>
                <c:pt idx="17">
                  <c:v>7126.4110000000001</c:v>
                </c:pt>
                <c:pt idx="18">
                  <c:v>6991.8440000000001</c:v>
                </c:pt>
                <c:pt idx="19">
                  <c:v>8848.4959999999992</c:v>
                </c:pt>
              </c:numCache>
            </c:numRef>
          </c:val>
          <c:extLst>
            <c:ext xmlns:c16="http://schemas.microsoft.com/office/drawing/2014/chart" uri="{C3380CC4-5D6E-409C-BE32-E72D297353CC}">
              <c16:uniqueId val="{00000001-D09E-4A06-B99E-CAAD5810B104}"/>
            </c:ext>
          </c:extLst>
        </c:ser>
        <c:ser>
          <c:idx val="1"/>
          <c:order val="3"/>
          <c:tx>
            <c:strRef>
              <c:f>'G2 HDP vydavky'!$B$33</c:f>
              <c:strCache>
                <c:ptCount val="1"/>
                <c:pt idx="0">
                  <c:v>tvorba hrubého fixného kapitálu</c:v>
                </c:pt>
              </c:strCache>
            </c:strRef>
          </c:tx>
          <c:spPr>
            <a:solidFill>
              <a:srgbClr val="8AAC46"/>
            </a:solidFill>
            <a:ln w="12700">
              <a:noFill/>
            </a:ln>
          </c:spPr>
          <c:invertIfNegative val="0"/>
          <c:cat>
            <c:strRef>
              <c:f>'G2 HDP vydavky'!$C$29:$V$29</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'G2 HDP vydavky'!$C$33:$V$33</c:f>
              <c:numCache>
                <c:formatCode>#\ ##0.0_)</c:formatCode>
                <c:ptCount val="20"/>
                <c:pt idx="0">
                  <c:v>3870.52</c:v>
                </c:pt>
                <c:pt idx="1">
                  <c:v>4679.1909999999998</c:v>
                </c:pt>
                <c:pt idx="2">
                  <c:v>5330.7280000000001</c:v>
                </c:pt>
                <c:pt idx="3">
                  <c:v>6088.4740000000002</c:v>
                </c:pt>
                <c:pt idx="4">
                  <c:v>4455.9830000000002</c:v>
                </c:pt>
                <c:pt idx="5">
                  <c:v>4905.1279999999997</c:v>
                </c:pt>
                <c:pt idx="6">
                  <c:v>6331.4780000000001</c:v>
                </c:pt>
                <c:pt idx="7">
                  <c:v>7333.1109999999999</c:v>
                </c:pt>
                <c:pt idx="8">
                  <c:v>4339.1970000000001</c:v>
                </c:pt>
                <c:pt idx="9">
                  <c:v>5804.0889999999999</c:v>
                </c:pt>
                <c:pt idx="10">
                  <c:v>7057.4359999999997</c:v>
                </c:pt>
                <c:pt idx="11">
                  <c:v>8910.473</c:v>
                </c:pt>
                <c:pt idx="12">
                  <c:v>5502.2939999999999</c:v>
                </c:pt>
                <c:pt idx="13">
                  <c:v>6300.3140000000003</c:v>
                </c:pt>
                <c:pt idx="14">
                  <c:v>6685.1570000000002</c:v>
                </c:pt>
                <c:pt idx="15">
                  <c:v>8098.5230000000001</c:v>
                </c:pt>
                <c:pt idx="16">
                  <c:v>5260.8289999999997</c:v>
                </c:pt>
                <c:pt idx="17">
                  <c:v>6826.8789999999999</c:v>
                </c:pt>
                <c:pt idx="18">
                  <c:v>7245.0309999999999</c:v>
                </c:pt>
                <c:pt idx="19">
                  <c:v>8744.9930000000004</c:v>
                </c:pt>
              </c:numCache>
            </c:numRef>
          </c:val>
          <c:extLst>
            <c:ext xmlns:c16="http://schemas.microsoft.com/office/drawing/2014/chart" uri="{C3380CC4-5D6E-409C-BE32-E72D297353CC}">
              <c16:uniqueId val="{00000002-D09E-4A06-B99E-CAAD5810B104}"/>
            </c:ext>
          </c:extLst>
        </c:ser>
        <c:ser>
          <c:idx val="2"/>
          <c:order val="4"/>
          <c:tx>
            <c:strRef>
              <c:f>'G2 HDP vydavky'!$B$34</c:f>
              <c:strCache>
                <c:ptCount val="1"/>
                <c:pt idx="0">
                  <c:v>zmena stavu zásob</c:v>
                </c:pt>
              </c:strCache>
            </c:strRef>
          </c:tx>
          <c:spPr>
            <a:solidFill>
              <a:srgbClr val="5D7430"/>
            </a:solidFill>
            <a:ln w="12700">
              <a:noFill/>
            </a:ln>
          </c:spPr>
          <c:invertIfNegative val="0"/>
          <c:cat>
            <c:strRef>
              <c:f>'G2 HDP vydavky'!$C$29:$V$29</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'G2 HDP vydavky'!$C$34:$V$34</c:f>
              <c:numCache>
                <c:formatCode>#\ ##0.0_)</c:formatCode>
                <c:ptCount val="20"/>
                <c:pt idx="0">
                  <c:v>546.82100000000003</c:v>
                </c:pt>
                <c:pt idx="1">
                  <c:v>1236.8879999999999</c:v>
                </c:pt>
                <c:pt idx="2">
                  <c:v>1950.009</c:v>
                </c:pt>
                <c:pt idx="3">
                  <c:v>-587.12</c:v>
                </c:pt>
                <c:pt idx="4">
                  <c:v>931.70100000000002</c:v>
                </c:pt>
                <c:pt idx="5">
                  <c:v>1114.807</c:v>
                </c:pt>
                <c:pt idx="6">
                  <c:v>1078.134</c:v>
                </c:pt>
                <c:pt idx="7">
                  <c:v>-520.529</c:v>
                </c:pt>
                <c:pt idx="8">
                  <c:v>-527.32799999999997</c:v>
                </c:pt>
                <c:pt idx="9">
                  <c:v>106.50700000000001</c:v>
                </c:pt>
                <c:pt idx="10">
                  <c:v>846.35</c:v>
                </c:pt>
                <c:pt idx="11">
                  <c:v>-2165.4810000000002</c:v>
                </c:pt>
                <c:pt idx="12">
                  <c:v>-745.88400000000001</c:v>
                </c:pt>
                <c:pt idx="13">
                  <c:v>586.03599999999994</c:v>
                </c:pt>
                <c:pt idx="14">
                  <c:v>1224.6379999999999</c:v>
                </c:pt>
                <c:pt idx="15">
                  <c:v>-1445.877</c:v>
                </c:pt>
                <c:pt idx="16">
                  <c:v>368.88400000000001</c:v>
                </c:pt>
                <c:pt idx="17">
                  <c:v>-191.137</c:v>
                </c:pt>
                <c:pt idx="18">
                  <c:v>896.78499999999997</c:v>
                </c:pt>
                <c:pt idx="19">
                  <c:v>-1686.8510000000001</c:v>
                </c:pt>
              </c:numCache>
            </c:numRef>
          </c:val>
          <c:extLst>
            <c:ext xmlns:c16="http://schemas.microsoft.com/office/drawing/2014/chart" uri="{C3380CC4-5D6E-409C-BE32-E72D297353CC}">
              <c16:uniqueId val="{00000003-D09E-4A06-B99E-CAAD5810B104}"/>
            </c:ext>
          </c:extLst>
        </c:ser>
        <c:ser>
          <c:idx val="5"/>
          <c:order val="5"/>
          <c:tx>
            <c:strRef>
              <c:f>'G2 HDP vydavky'!$B$35</c:f>
              <c:strCache>
                <c:ptCount val="1"/>
                <c:pt idx="0">
                  <c:v>čistý export</c:v>
                </c:pt>
              </c:strCache>
            </c:strRef>
          </c:tx>
          <c:spPr>
            <a:solidFill>
              <a:srgbClr val="A17317"/>
            </a:solidFill>
            <a:ln w="12700">
              <a:noFill/>
            </a:ln>
          </c:spPr>
          <c:invertIfNegative val="0"/>
          <c:cat>
            <c:strRef>
              <c:f>'G2 HDP vydavky'!$C$29:$V$29</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'G2 HDP vydavky'!$C$35:$V$35</c:f>
              <c:numCache>
                <c:formatCode>#\ ##0.0_)</c:formatCode>
                <c:ptCount val="20"/>
                <c:pt idx="0">
                  <c:v>883.00699999999995</c:v>
                </c:pt>
                <c:pt idx="1">
                  <c:v>-142.97800000000001</c:v>
                </c:pt>
                <c:pt idx="2">
                  <c:v>-609.048</c:v>
                </c:pt>
                <c:pt idx="3">
                  <c:v>-595.36300000000006</c:v>
                </c:pt>
                <c:pt idx="4">
                  <c:v>-1489.3030000000001</c:v>
                </c:pt>
                <c:pt idx="5">
                  <c:v>-902.91899999999998</c:v>
                </c:pt>
                <c:pt idx="6">
                  <c:v>-1399.1310000000001</c:v>
                </c:pt>
                <c:pt idx="7">
                  <c:v>-2719.7289999999998</c:v>
                </c:pt>
                <c:pt idx="8">
                  <c:v>951.54399999999998</c:v>
                </c:pt>
                <c:pt idx="9">
                  <c:v>886.86800000000005</c:v>
                </c:pt>
                <c:pt idx="10">
                  <c:v>314.83699999999999</c:v>
                </c:pt>
                <c:pt idx="11">
                  <c:v>-181.27500000000001</c:v>
                </c:pt>
                <c:pt idx="12">
                  <c:v>776.21199999999999</c:v>
                </c:pt>
                <c:pt idx="13">
                  <c:v>188.226</c:v>
                </c:pt>
                <c:pt idx="14">
                  <c:v>-276.33800000000002</c:v>
                </c:pt>
                <c:pt idx="15">
                  <c:v>-1008.153</c:v>
                </c:pt>
                <c:pt idx="16">
                  <c:v>-402.14100000000002</c:v>
                </c:pt>
                <c:pt idx="17">
                  <c:v>432.07600000000002</c:v>
                </c:pt>
                <c:pt idx="18">
                  <c:v>167.32</c:v>
                </c:pt>
                <c:pt idx="19">
                  <c:v>-406.81400000000002</c:v>
                </c:pt>
              </c:numCache>
            </c:numRef>
          </c:val>
          <c:extLst>
            <c:ext xmlns:c16="http://schemas.microsoft.com/office/drawing/2014/chart" uri="{C3380CC4-5D6E-409C-BE32-E72D297353CC}">
              <c16:uniqueId val="{00000004-D09E-4A06-B99E-CAAD5810B104}"/>
            </c:ext>
          </c:extLst>
        </c:ser>
        <c:dLbls>
          <c:showLegendKey val="0"/>
          <c:showVal val="0"/>
          <c:showCatName val="0"/>
          <c:showSerName val="0"/>
          <c:showPercent val="0"/>
          <c:showBubbleSize val="0"/>
        </c:dLbls>
        <c:gapWidth val="142"/>
        <c:overlap val="-18"/>
        <c:axId val="304928376"/>
        <c:axId val="304922496"/>
      </c:barChart>
      <c:lineChart>
        <c:grouping val="standard"/>
        <c:varyColors val="0"/>
        <c:ser>
          <c:idx val="0"/>
          <c:order val="0"/>
          <c:tx>
            <c:strRef>
              <c:f>'G2 HDP vydavky'!$B$30</c:f>
              <c:strCache>
                <c:ptCount val="1"/>
                <c:pt idx="0">
                  <c:v>HDP (medziročná zmena, b. c.)</c:v>
                </c:pt>
              </c:strCache>
            </c:strRef>
          </c:tx>
          <c:spPr>
            <a:ln w="19050">
              <a:solidFill>
                <a:srgbClr val="E3A935"/>
              </a:solidFill>
              <a:prstDash val="solid"/>
            </a:ln>
          </c:spPr>
          <c:marker>
            <c:symbol val="diamond"/>
            <c:size val="5"/>
            <c:spPr>
              <a:solidFill>
                <a:srgbClr val="E3A935"/>
              </a:solidFill>
              <a:ln cmpd="sng">
                <a:solidFill>
                  <a:srgbClr val="E3A935"/>
                </a:solidFill>
              </a:ln>
            </c:spPr>
          </c:marker>
          <c:cat>
            <c:strRef>
              <c:f>'G2 HDP vydavky'!$C$29:$V$29</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'G2 HDP vydavky'!$C$30:$V$30</c:f>
              <c:numCache>
                <c:formatCode>#\ ##0.0</c:formatCode>
                <c:ptCount val="20"/>
                <c:pt idx="0">
                  <c:v>3.0765177670922839</c:v>
                </c:pt>
                <c:pt idx="1">
                  <c:v>14.725599675869631</c:v>
                </c:pt>
                <c:pt idx="2">
                  <c:v>6.8609940223394688</c:v>
                </c:pt>
                <c:pt idx="3">
                  <c:v>7.6796230689641476</c:v>
                </c:pt>
                <c:pt idx="4">
                  <c:v>7.6383320125829215</c:v>
                </c:pt>
                <c:pt idx="5">
                  <c:v>7.9367988526643103</c:v>
                </c:pt>
                <c:pt idx="6">
                  <c:v>8.0082402112646065</c:v>
                </c:pt>
                <c:pt idx="7">
                  <c:v>8.0495445473459455</c:v>
                </c:pt>
                <c:pt idx="8">
                  <c:v>12.761930260662211</c:v>
                </c:pt>
                <c:pt idx="9">
                  <c:v>11.952495118511422</c:v>
                </c:pt>
                <c:pt idx="10">
                  <c:v>12.562311077726434</c:v>
                </c:pt>
                <c:pt idx="11">
                  <c:v>12.158403810381586</c:v>
                </c:pt>
                <c:pt idx="12">
                  <c:v>8.2012220830671936</c:v>
                </c:pt>
                <c:pt idx="13">
                  <c:v>6.4453225149879785</c:v>
                </c:pt>
                <c:pt idx="14">
                  <c:v>3.2199725396870207</c:v>
                </c:pt>
                <c:pt idx="15">
                  <c:v>4.2132239656271793</c:v>
                </c:pt>
                <c:pt idx="16">
                  <c:v>2.9926223743463822</c:v>
                </c:pt>
                <c:pt idx="17">
                  <c:v>5.2031186146497674</c:v>
                </c:pt>
                <c:pt idx="18">
                  <c:v>5.8001783964906508</c:v>
                </c:pt>
                <c:pt idx="19">
                  <c:v>5.8931384487391085</c:v>
                </c:pt>
              </c:numCache>
            </c:numRef>
          </c:val>
          <c:smooth val="1"/>
          <c:extLst>
            <c:ext xmlns:c16="http://schemas.microsoft.com/office/drawing/2014/chart" uri="{C3380CC4-5D6E-409C-BE32-E72D297353CC}">
              <c16:uniqueId val="{00000005-D09E-4A06-B99E-CAAD5810B104}"/>
            </c:ext>
          </c:extLst>
        </c:ser>
        <c:dLbls>
          <c:showLegendKey val="0"/>
          <c:showVal val="0"/>
          <c:showCatName val="0"/>
          <c:showSerName val="0"/>
          <c:showPercent val="0"/>
          <c:showBubbleSize val="0"/>
        </c:dLbls>
        <c:marker val="1"/>
        <c:smooth val="0"/>
        <c:axId val="304923280"/>
        <c:axId val="304924064"/>
      </c:lineChart>
      <c:catAx>
        <c:axId val="304923280"/>
        <c:scaling>
          <c:orientation val="minMax"/>
        </c:scaling>
        <c:delete val="0"/>
        <c:axPos val="b"/>
        <c:numFmt formatCode="General" sourceLinked="1"/>
        <c:majorTickMark val="out"/>
        <c:minorTickMark val="none"/>
        <c:tickLblPos val="low"/>
        <c:spPr>
          <a:ln w="3175">
            <a:solidFill>
              <a:srgbClr val="000000"/>
            </a:solidFill>
            <a:prstDash val="solid"/>
          </a:ln>
        </c:spPr>
        <c:txPr>
          <a:bodyPr rot="-5400000" vert="horz"/>
          <a:lstStyle/>
          <a:p>
            <a:pPr>
              <a:defRPr sz="800" b="0" i="0" u="none" strike="noStrike" baseline="0">
                <a:solidFill>
                  <a:srgbClr val="000000"/>
                </a:solidFill>
                <a:latin typeface="Arial"/>
                <a:ea typeface="Arial"/>
                <a:cs typeface="Arial"/>
              </a:defRPr>
            </a:pPr>
            <a:endParaRPr lang="sk-SK"/>
          </a:p>
        </c:txPr>
        <c:crossAx val="304924064"/>
        <c:crosses val="autoZero"/>
        <c:auto val="0"/>
        <c:lblAlgn val="ctr"/>
        <c:lblOffset val="20"/>
        <c:tickLblSkip val="1"/>
        <c:tickMarkSkip val="1"/>
        <c:noMultiLvlLbl val="0"/>
      </c:catAx>
      <c:valAx>
        <c:axId val="304924064"/>
        <c:scaling>
          <c:orientation val="minMax"/>
          <c:max val="17.5"/>
          <c:min val="-5"/>
        </c:scaling>
        <c:delete val="0"/>
        <c:axPos val="l"/>
        <c:numFmt formatCode="0" sourceLinked="0"/>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sk-SK"/>
          </a:p>
        </c:txPr>
        <c:crossAx val="304923280"/>
        <c:crosses val="autoZero"/>
        <c:crossBetween val="between"/>
        <c:majorUnit val="5"/>
        <c:minorUnit val="2"/>
      </c:valAx>
      <c:catAx>
        <c:axId val="304928376"/>
        <c:scaling>
          <c:orientation val="minMax"/>
        </c:scaling>
        <c:delete val="1"/>
        <c:axPos val="b"/>
        <c:numFmt formatCode="General" sourceLinked="1"/>
        <c:majorTickMark val="out"/>
        <c:minorTickMark val="none"/>
        <c:tickLblPos val="nextTo"/>
        <c:crossAx val="304922496"/>
        <c:crosses val="autoZero"/>
        <c:auto val="0"/>
        <c:lblAlgn val="ctr"/>
        <c:lblOffset val="100"/>
        <c:noMultiLvlLbl val="0"/>
      </c:catAx>
      <c:valAx>
        <c:axId val="304922496"/>
        <c:scaling>
          <c:orientation val="minMax"/>
          <c:max val="21000"/>
          <c:min val="-6000"/>
        </c:scaling>
        <c:delete val="0"/>
        <c:axPos val="r"/>
        <c:numFmt formatCode="0" sourceLinked="0"/>
        <c:majorTickMark val="cross"/>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sk-SK"/>
          </a:p>
        </c:txPr>
        <c:crossAx val="304928376"/>
        <c:crosses val="max"/>
        <c:crossBetween val="between"/>
        <c:majorUnit val="3000"/>
        <c:minorUnit val="1000"/>
      </c:valAx>
    </c:plotArea>
    <c:legend>
      <c:legendPos val="r"/>
      <c:layout>
        <c:manualLayout>
          <c:xMode val="edge"/>
          <c:yMode val="edge"/>
          <c:x val="0.79615549684953857"/>
          <c:y val="0.21861237345331833"/>
          <c:w val="0.20384450315046124"/>
          <c:h val="0.59075635545556815"/>
        </c:manualLayout>
      </c:layout>
      <c:overlay val="0"/>
      <c:spPr>
        <a:ln>
          <a:noFill/>
        </a:ln>
      </c:spPr>
      <c:txPr>
        <a:bodyPr/>
        <a:lstStyle/>
        <a:p>
          <a:pPr>
            <a:defRPr sz="800">
              <a:latin typeface="Arial" panose="020B0604020202020204" pitchFamily="34" charset="0"/>
              <a:cs typeface="Arial" panose="020B0604020202020204" pitchFamily="34" charset="0"/>
            </a:defRPr>
          </a:pPr>
          <a:endParaRPr lang="sk-SK"/>
        </a:p>
      </c:txPr>
    </c:legend>
    <c:plotVisOnly val="1"/>
    <c:dispBlanksAs val="gap"/>
    <c:showDLblsOverMax val="0"/>
  </c:chart>
  <c:spPr>
    <a:solidFill>
      <a:srgbClr val="FFFFFF"/>
    </a:solidFill>
    <a:ln w="3175">
      <a:noFill/>
      <a:prstDash val="solid"/>
    </a:ln>
  </c:spPr>
  <c:txPr>
    <a:bodyPr/>
    <a:lstStyle/>
    <a:p>
      <a:pPr>
        <a:defRPr sz="1200" b="0" i="0" u="none" strike="noStrike" baseline="0">
          <a:solidFill>
            <a:srgbClr val="000000"/>
          </a:solidFill>
          <a:latin typeface="Arial CE"/>
          <a:ea typeface="Arial CE"/>
          <a:cs typeface="Arial CE"/>
        </a:defRPr>
      </a:pPr>
      <a:endParaRPr lang="sk-SK"/>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9714156283824217E-2"/>
          <c:y val="0.19082632929310803"/>
          <c:w val="0.86124053243344578"/>
          <c:h val="0.5578136789582574"/>
        </c:manualLayout>
      </c:layout>
      <c:barChart>
        <c:barDir val="col"/>
        <c:grouping val="clustered"/>
        <c:varyColors val="0"/>
        <c:ser>
          <c:idx val="1"/>
          <c:order val="1"/>
          <c:tx>
            <c:strRef>
              <c:f>'G3 kapital'!$B$30</c:f>
              <c:strCache>
                <c:ptCount val="1"/>
                <c:pt idx="0">
                  <c:v>tvorba hrubého fixného kapitálu</c:v>
                </c:pt>
              </c:strCache>
            </c:strRef>
          </c:tx>
          <c:spPr>
            <a:solidFill>
              <a:srgbClr val="A9C472"/>
            </a:solidFill>
            <a:ln>
              <a:noFill/>
            </a:ln>
          </c:spPr>
          <c:invertIfNegative val="0"/>
          <c:cat>
            <c:strRef>
              <c:f>'G3 kapital'!$C$28:$V$28</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'G3 kapital'!$C$30:$V$30</c:f>
              <c:numCache>
                <c:formatCode>#\ ##0.0</c:formatCode>
                <c:ptCount val="20"/>
                <c:pt idx="0">
                  <c:v>3870.52</c:v>
                </c:pt>
                <c:pt idx="1">
                  <c:v>4679.1909999999998</c:v>
                </c:pt>
                <c:pt idx="2">
                  <c:v>5330.7280000000001</c:v>
                </c:pt>
                <c:pt idx="3">
                  <c:v>6088.4740000000002</c:v>
                </c:pt>
                <c:pt idx="4">
                  <c:v>4455.9830000000002</c:v>
                </c:pt>
                <c:pt idx="5">
                  <c:v>4905.1279999999997</c:v>
                </c:pt>
                <c:pt idx="6">
                  <c:v>6331.4780000000001</c:v>
                </c:pt>
                <c:pt idx="7">
                  <c:v>7333.1109999999999</c:v>
                </c:pt>
                <c:pt idx="8">
                  <c:v>4339.1970000000001</c:v>
                </c:pt>
                <c:pt idx="9">
                  <c:v>5804.0889999999999</c:v>
                </c:pt>
                <c:pt idx="10">
                  <c:v>7057.4359999999997</c:v>
                </c:pt>
                <c:pt idx="11">
                  <c:v>8910.473</c:v>
                </c:pt>
                <c:pt idx="12">
                  <c:v>5502.2939999999999</c:v>
                </c:pt>
                <c:pt idx="13">
                  <c:v>6300.3140000000003</c:v>
                </c:pt>
                <c:pt idx="14">
                  <c:v>6685.1570000000002</c:v>
                </c:pt>
                <c:pt idx="15">
                  <c:v>8098.5230000000001</c:v>
                </c:pt>
                <c:pt idx="16">
                  <c:v>5260.8289999999997</c:v>
                </c:pt>
                <c:pt idx="17">
                  <c:v>6826.8789999999999</c:v>
                </c:pt>
                <c:pt idx="18">
                  <c:v>7245.0309999999999</c:v>
                </c:pt>
                <c:pt idx="19">
                  <c:v>8744.9930000000004</c:v>
                </c:pt>
              </c:numCache>
            </c:numRef>
          </c:val>
          <c:extLst>
            <c:ext xmlns:c16="http://schemas.microsoft.com/office/drawing/2014/chart" uri="{C3380CC4-5D6E-409C-BE32-E72D297353CC}">
              <c16:uniqueId val="{00000000-9080-4DDA-B650-B88040108CBF}"/>
            </c:ext>
          </c:extLst>
        </c:ser>
        <c:ser>
          <c:idx val="2"/>
          <c:order val="2"/>
          <c:tx>
            <c:strRef>
              <c:f>'G3 kapital'!$B$31</c:f>
              <c:strCache>
                <c:ptCount val="1"/>
                <c:pt idx="0">
                  <c:v>zmena stavu zásob</c:v>
                </c:pt>
              </c:strCache>
            </c:strRef>
          </c:tx>
          <c:spPr>
            <a:solidFill>
              <a:srgbClr val="5C7230"/>
            </a:solidFill>
            <a:ln>
              <a:noFill/>
            </a:ln>
          </c:spPr>
          <c:invertIfNegative val="0"/>
          <c:cat>
            <c:strRef>
              <c:f>'G3 kapital'!$C$28:$V$28</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'G3 kapital'!$C$31:$V$31</c:f>
              <c:numCache>
                <c:formatCode>#\ ##0.0</c:formatCode>
                <c:ptCount val="20"/>
                <c:pt idx="0">
                  <c:v>546.82100000000003</c:v>
                </c:pt>
                <c:pt idx="1">
                  <c:v>1236.8879999999999</c:v>
                </c:pt>
                <c:pt idx="2">
                  <c:v>1950.009</c:v>
                </c:pt>
                <c:pt idx="3">
                  <c:v>-587.12</c:v>
                </c:pt>
                <c:pt idx="4">
                  <c:v>931.70100000000002</c:v>
                </c:pt>
                <c:pt idx="5">
                  <c:v>1114.807</c:v>
                </c:pt>
                <c:pt idx="6">
                  <c:v>1078.134</c:v>
                </c:pt>
                <c:pt idx="7">
                  <c:v>-520.529</c:v>
                </c:pt>
                <c:pt idx="8">
                  <c:v>-527.32799999999997</c:v>
                </c:pt>
                <c:pt idx="9">
                  <c:v>106.50700000000001</c:v>
                </c:pt>
                <c:pt idx="10">
                  <c:v>846.35</c:v>
                </c:pt>
                <c:pt idx="11">
                  <c:v>-2165.4810000000002</c:v>
                </c:pt>
                <c:pt idx="12">
                  <c:v>-745.88400000000001</c:v>
                </c:pt>
                <c:pt idx="13">
                  <c:v>586.03599999999994</c:v>
                </c:pt>
                <c:pt idx="14">
                  <c:v>1224.6379999999999</c:v>
                </c:pt>
                <c:pt idx="15">
                  <c:v>-1445.877</c:v>
                </c:pt>
                <c:pt idx="16">
                  <c:v>368.88400000000001</c:v>
                </c:pt>
                <c:pt idx="17">
                  <c:v>-191.137</c:v>
                </c:pt>
                <c:pt idx="18">
                  <c:v>896.78499999999997</c:v>
                </c:pt>
                <c:pt idx="19">
                  <c:v>-1686.8510000000001</c:v>
                </c:pt>
              </c:numCache>
            </c:numRef>
          </c:val>
          <c:extLst>
            <c:ext xmlns:c16="http://schemas.microsoft.com/office/drawing/2014/chart" uri="{C3380CC4-5D6E-409C-BE32-E72D297353CC}">
              <c16:uniqueId val="{00000001-9080-4DDA-B650-B88040108CBF}"/>
            </c:ext>
          </c:extLst>
        </c:ser>
        <c:dLbls>
          <c:showLegendKey val="0"/>
          <c:showVal val="0"/>
          <c:showCatName val="0"/>
          <c:showSerName val="0"/>
          <c:showPercent val="0"/>
          <c:showBubbleSize val="0"/>
        </c:dLbls>
        <c:gapWidth val="50"/>
        <c:axId val="308303072"/>
        <c:axId val="308299152"/>
        <c:extLst>
          <c:ext xmlns:c15="http://schemas.microsoft.com/office/drawing/2012/chart" uri="{02D57815-91ED-43cb-92C2-25804820EDAC}">
            <c15:filteredBarSeries>
              <c15:ser>
                <c:idx val="0"/>
                <c:order val="0"/>
                <c:tx>
                  <c:strRef>
                    <c:extLst>
                      <c:ext uri="{02D57815-91ED-43cb-92C2-25804820EDAC}">
                        <c15:formulaRef>
                          <c15:sqref>'G3 kapital'!$B$29</c15:sqref>
                        </c15:formulaRef>
                      </c:ext>
                    </c:extLst>
                    <c:strCache>
                      <c:ptCount val="1"/>
                      <c:pt idx="0">
                        <c:v>tvorba hrubého kapitálu</c:v>
                      </c:pt>
                    </c:strCache>
                  </c:strRef>
                </c:tx>
                <c:spPr>
                  <a:solidFill>
                    <a:schemeClr val="tx2"/>
                  </a:solidFill>
                  <a:ln w="19050">
                    <a:noFill/>
                  </a:ln>
                </c:spPr>
                <c:invertIfNegative val="0"/>
                <c:cat>
                  <c:strRef>
                    <c:extLst>
                      <c:ext uri="{02D57815-91ED-43cb-92C2-25804820EDAC}">
                        <c15:formulaRef>
                          <c15:sqref>'G3 kapital'!$C$28:$V$28</c15:sqref>
                        </c15:formulaRef>
                      </c:ext>
                    </c:extLst>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extLst>
                      <c:ext uri="{02D57815-91ED-43cb-92C2-25804820EDAC}">
                        <c15:formulaRef>
                          <c15:sqref>'G3 kapital'!$C$29:$V$29</c15:sqref>
                        </c15:formulaRef>
                      </c:ext>
                    </c:extLst>
                    <c:numCache>
                      <c:formatCode>#\ ##0.0</c:formatCode>
                      <c:ptCount val="20"/>
                      <c:pt idx="0">
                        <c:v>4417.3410000000003</c:v>
                      </c:pt>
                      <c:pt idx="1">
                        <c:v>5916.0789999999997</c:v>
                      </c:pt>
                      <c:pt idx="2">
                        <c:v>7280.7370000000001</c:v>
                      </c:pt>
                      <c:pt idx="3">
                        <c:v>5501.3540000000003</c:v>
                      </c:pt>
                      <c:pt idx="4">
                        <c:v>5387.6840000000002</c:v>
                      </c:pt>
                      <c:pt idx="5">
                        <c:v>6019.9350000000004</c:v>
                      </c:pt>
                      <c:pt idx="6">
                        <c:v>7409.6120000000001</c:v>
                      </c:pt>
                      <c:pt idx="7">
                        <c:v>6812.5820000000003</c:v>
                      </c:pt>
                      <c:pt idx="8">
                        <c:v>3811.8690000000001</c:v>
                      </c:pt>
                      <c:pt idx="9">
                        <c:v>5910.5959999999995</c:v>
                      </c:pt>
                      <c:pt idx="10">
                        <c:v>7903.7860000000001</c:v>
                      </c:pt>
                      <c:pt idx="11">
                        <c:v>6744.9920000000002</c:v>
                      </c:pt>
                      <c:pt idx="12">
                        <c:v>4756.41</c:v>
                      </c:pt>
                      <c:pt idx="13">
                        <c:v>6886.35</c:v>
                      </c:pt>
                      <c:pt idx="14">
                        <c:v>7909.7950000000001</c:v>
                      </c:pt>
                      <c:pt idx="15">
                        <c:v>6652.6459999999997</c:v>
                      </c:pt>
                      <c:pt idx="16">
                        <c:v>5629.7129999999997</c:v>
                      </c:pt>
                      <c:pt idx="17">
                        <c:v>6635.7420000000002</c:v>
                      </c:pt>
                      <c:pt idx="18">
                        <c:v>8141.8159999999998</c:v>
                      </c:pt>
                      <c:pt idx="19">
                        <c:v>7058.1419999999998</c:v>
                      </c:pt>
                    </c:numCache>
                  </c:numRef>
                </c:val>
                <c:extLst>
                  <c:ext xmlns:c16="http://schemas.microsoft.com/office/drawing/2014/chart" uri="{C3380CC4-5D6E-409C-BE32-E72D297353CC}">
                    <c16:uniqueId val="{00000002-9080-4DDA-B650-B88040108CBF}"/>
                  </c:ext>
                </c:extLst>
              </c15:ser>
            </c15:filteredBarSeries>
          </c:ext>
        </c:extLst>
      </c:barChart>
      <c:catAx>
        <c:axId val="308303072"/>
        <c:scaling>
          <c:orientation val="minMax"/>
        </c:scaling>
        <c:delete val="0"/>
        <c:axPos val="b"/>
        <c:numFmt formatCode="d/m/yyyy" sourceLinked="0"/>
        <c:majorTickMark val="out"/>
        <c:minorTickMark val="none"/>
        <c:tickLblPos val="low"/>
        <c:txPr>
          <a:bodyPr rot="-5400000" vert="horz"/>
          <a:lstStyle/>
          <a:p>
            <a:pPr>
              <a:defRPr sz="800" b="0" i="0" u="none" strike="noStrike" baseline="0">
                <a:solidFill>
                  <a:srgbClr val="000000"/>
                </a:solidFill>
                <a:latin typeface="Arial"/>
                <a:ea typeface="Arial"/>
                <a:cs typeface="Arial"/>
              </a:defRPr>
            </a:pPr>
            <a:endParaRPr lang="sk-SK"/>
          </a:p>
        </c:txPr>
        <c:crossAx val="308299152"/>
        <c:crosses val="autoZero"/>
        <c:auto val="0"/>
        <c:lblAlgn val="ctr"/>
        <c:lblOffset val="100"/>
        <c:noMultiLvlLbl val="0"/>
      </c:catAx>
      <c:valAx>
        <c:axId val="308299152"/>
        <c:scaling>
          <c:orientation val="minMax"/>
        </c:scaling>
        <c:delete val="0"/>
        <c:axPos val="l"/>
        <c:title>
          <c:tx>
            <c:rich>
              <a:bodyPr rot="0" vert="horz"/>
              <a:lstStyle/>
              <a:p>
                <a:pPr>
                  <a:defRPr sz="800">
                    <a:latin typeface="Arial" panose="020B0604020202020204" pitchFamily="34" charset="0"/>
                    <a:cs typeface="Arial" panose="020B0604020202020204" pitchFamily="34" charset="0"/>
                  </a:defRPr>
                </a:pPr>
                <a:r>
                  <a:rPr lang="sk-SK" sz="800">
                    <a:latin typeface="Arial" panose="020B0604020202020204" pitchFamily="34" charset="0"/>
                    <a:cs typeface="Arial" panose="020B0604020202020204" pitchFamily="34" charset="0"/>
                  </a:rPr>
                  <a:t>mil. eur</a:t>
                </a:r>
              </a:p>
            </c:rich>
          </c:tx>
          <c:layout>
            <c:manualLayout>
              <c:xMode val="edge"/>
              <c:yMode val="edge"/>
              <c:x val="2.0611477437194502E-2"/>
              <c:y val="9.8163311303538586E-2"/>
            </c:manualLayout>
          </c:layout>
          <c:overlay val="0"/>
        </c:title>
        <c:numFmt formatCode="0" sourceLinked="0"/>
        <c:majorTickMark val="out"/>
        <c:minorTickMark val="none"/>
        <c:tickLblPos val="nextTo"/>
        <c:txPr>
          <a:bodyPr rot="0" vert="horz"/>
          <a:lstStyle/>
          <a:p>
            <a:pPr>
              <a:defRPr sz="800" b="0" i="0" u="none" strike="noStrike" baseline="0">
                <a:solidFill>
                  <a:srgbClr val="000000"/>
                </a:solidFill>
                <a:latin typeface="Arial"/>
                <a:ea typeface="Arial"/>
                <a:cs typeface="Arial"/>
              </a:defRPr>
            </a:pPr>
            <a:endParaRPr lang="sk-SK"/>
          </a:p>
        </c:txPr>
        <c:crossAx val="308303072"/>
        <c:crosses val="autoZero"/>
        <c:crossBetween val="between"/>
        <c:majorUnit val="2000"/>
      </c:valAx>
    </c:plotArea>
    <c:legend>
      <c:legendPos val="b"/>
      <c:overlay val="0"/>
      <c:spPr>
        <a:ln w="9525" cmpd="sng">
          <a:noFill/>
        </a:ln>
      </c:spPr>
      <c:txPr>
        <a:bodyPr/>
        <a:lstStyle/>
        <a:p>
          <a:pPr>
            <a:defRPr sz="800" b="0" i="0" u="none" strike="noStrike" baseline="0">
              <a:solidFill>
                <a:srgbClr val="000000"/>
              </a:solidFill>
              <a:latin typeface="Arial"/>
              <a:ea typeface="Arial"/>
              <a:cs typeface="Arial"/>
            </a:defRPr>
          </a:pPr>
          <a:endParaRPr lang="sk-SK"/>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sk-SK"/>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solidFill>
                  <a:sysClr val="windowText" lastClr="000000"/>
                </a:solidFill>
              </a:rPr>
              <a:t>G4. Inflácia - vývoj spotrebiteľských cien za vybrané položky</a:t>
            </a:r>
          </a:p>
          <a:p>
            <a:pPr algn="l">
              <a:defRPr sz="900" b="1">
                <a:solidFill>
                  <a:sysClr val="windowText" lastClr="000000"/>
                </a:solidFill>
              </a:defRPr>
            </a:pPr>
            <a:r>
              <a:rPr lang="sk-SK" sz="900" b="0">
                <a:solidFill>
                  <a:sysClr val="windowText" lastClr="000000"/>
                </a:solidFill>
              </a:rPr>
              <a:t>(medziročná zmena v %)</a:t>
            </a:r>
          </a:p>
        </c:rich>
      </c:tx>
      <c:layout>
        <c:manualLayout>
          <c:xMode val="edge"/>
          <c:yMode val="edge"/>
          <c:x val="1.9578959107982252E-2"/>
          <c:y val="1.3168720866149284E-2"/>
        </c:manualLayout>
      </c:layout>
      <c:overlay val="0"/>
      <c:spPr>
        <a:noFill/>
        <a:ln>
          <a:noFill/>
        </a:ln>
        <a:effectLst/>
      </c:spPr>
      <c:txPr>
        <a:bodyPr rot="0" spcFirstLastPara="1" vertOverflow="ellipsis" vert="horz" wrap="square" anchor="ctr" anchorCtr="1"/>
        <a:lstStyle/>
        <a:p>
          <a:pPr algn="l">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manualLayout>
          <c:layoutTarget val="inner"/>
          <c:xMode val="edge"/>
          <c:yMode val="edge"/>
          <c:x val="7.5603615398629462E-2"/>
          <c:y val="0.1504197140935902"/>
          <c:w val="0.8990215333857301"/>
          <c:h val="0.62283098465221876"/>
        </c:manualLayout>
      </c:layout>
      <c:lineChart>
        <c:grouping val="standard"/>
        <c:varyColors val="0"/>
        <c:ser>
          <c:idx val="0"/>
          <c:order val="0"/>
          <c:tx>
            <c:strRef>
              <c:f>G4_spotreb.ceny!$A$42</c:f>
              <c:strCache>
                <c:ptCount val="1"/>
                <c:pt idx="0">
                  <c:v>inflácia úhrn</c:v>
                </c:pt>
              </c:strCache>
            </c:strRef>
          </c:tx>
          <c:spPr>
            <a:ln w="38100" cap="rnd">
              <a:solidFill>
                <a:schemeClr val="accent1"/>
              </a:solidFill>
              <a:round/>
            </a:ln>
            <a:effectLst/>
          </c:spPr>
          <c:marker>
            <c:symbol val="none"/>
          </c:marker>
          <c:cat>
            <c:strRef>
              <c:f>G4_spotreb.ceny!$B$41:$U$41</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G4_spotreb.ceny!$B$42:$U$42</c:f>
              <c:numCache>
                <c:formatCode>0.0</c:formatCode>
                <c:ptCount val="20"/>
                <c:pt idx="0">
                  <c:v>1</c:v>
                </c:pt>
                <c:pt idx="1">
                  <c:v>2.2000000000000002</c:v>
                </c:pt>
                <c:pt idx="2">
                  <c:v>3.9014279706287831</c:v>
                </c:pt>
                <c:pt idx="3">
                  <c:v>5.5</c:v>
                </c:pt>
                <c:pt idx="4">
                  <c:v>9.3000000000000007</c:v>
                </c:pt>
                <c:pt idx="5">
                  <c:v>12.5</c:v>
                </c:pt>
                <c:pt idx="6">
                  <c:v>13.9</c:v>
                </c:pt>
                <c:pt idx="7">
                  <c:v>15.2</c:v>
                </c:pt>
                <c:pt idx="8">
                  <c:v>15.1</c:v>
                </c:pt>
                <c:pt idx="9">
                  <c:v>12.2</c:v>
                </c:pt>
                <c:pt idx="10">
                  <c:v>8.9</c:v>
                </c:pt>
                <c:pt idx="11">
                  <c:v>6.4</c:v>
                </c:pt>
                <c:pt idx="12">
                  <c:v>3.2</c:v>
                </c:pt>
                <c:pt idx="13">
                  <c:v>2.1</c:v>
                </c:pt>
                <c:pt idx="14">
                  <c:v>2.7</c:v>
                </c:pt>
                <c:pt idx="15">
                  <c:v>3.1</c:v>
                </c:pt>
                <c:pt idx="16">
                  <c:v>3.9</c:v>
                </c:pt>
                <c:pt idx="17">
                  <c:v>4.0999999999999996</c:v>
                </c:pt>
                <c:pt idx="18">
                  <c:v>4.3</c:v>
                </c:pt>
                <c:pt idx="19">
                  <c:v>3.8</c:v>
                </c:pt>
              </c:numCache>
            </c:numRef>
          </c:val>
          <c:smooth val="0"/>
          <c:extLst>
            <c:ext xmlns:c16="http://schemas.microsoft.com/office/drawing/2014/chart" uri="{C3380CC4-5D6E-409C-BE32-E72D297353CC}">
              <c16:uniqueId val="{00000000-63E8-4660-B555-A834082E2C7F}"/>
            </c:ext>
          </c:extLst>
        </c:ser>
        <c:ser>
          <c:idx val="1"/>
          <c:order val="1"/>
          <c:tx>
            <c:strRef>
              <c:f>G4_spotreb.ceny!$A$43</c:f>
              <c:strCache>
                <c:ptCount val="1"/>
                <c:pt idx="0">
                  <c:v>potraviny</c:v>
                </c:pt>
              </c:strCache>
            </c:strRef>
          </c:tx>
          <c:spPr>
            <a:ln w="25400" cap="rnd">
              <a:solidFill>
                <a:schemeClr val="accent2"/>
              </a:solidFill>
              <a:round/>
            </a:ln>
            <a:effectLst/>
          </c:spPr>
          <c:marker>
            <c:symbol val="none"/>
          </c:marker>
          <c:cat>
            <c:strRef>
              <c:f>G4_spotreb.ceny!$B$41:$U$41</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G4_spotreb.ceny!$B$43:$U$43</c:f>
              <c:numCache>
                <c:formatCode>0.0</c:formatCode>
                <c:ptCount val="20"/>
                <c:pt idx="0">
                  <c:v>-0.8</c:v>
                </c:pt>
                <c:pt idx="1">
                  <c:v>-0.3</c:v>
                </c:pt>
                <c:pt idx="2">
                  <c:v>3.6</c:v>
                </c:pt>
                <c:pt idx="3">
                  <c:v>5.0999999999999996</c:v>
                </c:pt>
                <c:pt idx="4">
                  <c:v>10.1</c:v>
                </c:pt>
                <c:pt idx="5">
                  <c:v>16.5</c:v>
                </c:pt>
                <c:pt idx="6">
                  <c:v>21.9</c:v>
                </c:pt>
                <c:pt idx="7">
                  <c:v>28.2</c:v>
                </c:pt>
                <c:pt idx="8">
                  <c:v>28.699999999999989</c:v>
                </c:pt>
                <c:pt idx="9">
                  <c:v>22.3</c:v>
                </c:pt>
                <c:pt idx="10">
                  <c:v>13.700000000000003</c:v>
                </c:pt>
                <c:pt idx="11">
                  <c:v>7.5999999999999943</c:v>
                </c:pt>
                <c:pt idx="12">
                  <c:v>2.9000000000000057</c:v>
                </c:pt>
                <c:pt idx="13">
                  <c:v>0.40000000000000568</c:v>
                </c:pt>
                <c:pt idx="14">
                  <c:v>2.5999999999999943</c:v>
                </c:pt>
                <c:pt idx="15">
                  <c:v>4.2000000000000028</c:v>
                </c:pt>
                <c:pt idx="16">
                  <c:v>1.9000000000000057</c:v>
                </c:pt>
                <c:pt idx="17">
                  <c:v>2.7999999999999972</c:v>
                </c:pt>
                <c:pt idx="18">
                  <c:v>2.6</c:v>
                </c:pt>
                <c:pt idx="19">
                  <c:v>0.1</c:v>
                </c:pt>
              </c:numCache>
            </c:numRef>
          </c:val>
          <c:smooth val="0"/>
          <c:extLst>
            <c:ext xmlns:c16="http://schemas.microsoft.com/office/drawing/2014/chart" uri="{C3380CC4-5D6E-409C-BE32-E72D297353CC}">
              <c16:uniqueId val="{00000001-63E8-4660-B555-A834082E2C7F}"/>
            </c:ext>
          </c:extLst>
        </c:ser>
        <c:ser>
          <c:idx val="2"/>
          <c:order val="2"/>
          <c:tx>
            <c:strRef>
              <c:f>G4_spotreb.ceny!$A$44</c:f>
              <c:strCache>
                <c:ptCount val="1"/>
                <c:pt idx="0">
                  <c:v>bývanie a energie</c:v>
                </c:pt>
              </c:strCache>
            </c:strRef>
          </c:tx>
          <c:spPr>
            <a:ln w="25400" cap="rnd">
              <a:solidFill>
                <a:schemeClr val="accent3"/>
              </a:solidFill>
              <a:round/>
            </a:ln>
            <a:effectLst/>
          </c:spPr>
          <c:marker>
            <c:symbol val="none"/>
          </c:marker>
          <c:cat>
            <c:strRef>
              <c:f>G4_spotreb.ceny!$B$41:$U$41</c:f>
              <c:strCache>
                <c:ptCount val="20"/>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strCache>
            </c:strRef>
          </c:cat>
          <c:val>
            <c:numRef>
              <c:f>G4_spotreb.ceny!$B$44:$U$44</c:f>
              <c:numCache>
                <c:formatCode>0.0</c:formatCode>
                <c:ptCount val="20"/>
                <c:pt idx="0">
                  <c:v>-1.1000000000000001</c:v>
                </c:pt>
                <c:pt idx="1">
                  <c:v>0.1</c:v>
                </c:pt>
                <c:pt idx="2">
                  <c:v>2.1</c:v>
                </c:pt>
                <c:pt idx="3">
                  <c:v>3.9</c:v>
                </c:pt>
                <c:pt idx="4">
                  <c:v>13.4</c:v>
                </c:pt>
                <c:pt idx="5">
                  <c:v>15.6</c:v>
                </c:pt>
                <c:pt idx="6">
                  <c:v>16.399999999999999</c:v>
                </c:pt>
                <c:pt idx="7">
                  <c:v>16.5</c:v>
                </c:pt>
                <c:pt idx="8">
                  <c:v>14.099999999999994</c:v>
                </c:pt>
                <c:pt idx="9">
                  <c:v>11</c:v>
                </c:pt>
                <c:pt idx="10">
                  <c:v>7.4000000000000057</c:v>
                </c:pt>
                <c:pt idx="11">
                  <c:v>5.2000000000000028</c:v>
                </c:pt>
                <c:pt idx="12">
                  <c:v>0.20000000000000284</c:v>
                </c:pt>
                <c:pt idx="13">
                  <c:v>0</c:v>
                </c:pt>
                <c:pt idx="14">
                  <c:v>0.59999999999999432</c:v>
                </c:pt>
                <c:pt idx="15">
                  <c:v>1</c:v>
                </c:pt>
                <c:pt idx="16">
                  <c:v>2.5</c:v>
                </c:pt>
                <c:pt idx="17">
                  <c:v>2.5999999999999943</c:v>
                </c:pt>
                <c:pt idx="18">
                  <c:v>2.6</c:v>
                </c:pt>
                <c:pt idx="19">
                  <c:v>2.8</c:v>
                </c:pt>
              </c:numCache>
            </c:numRef>
          </c:val>
          <c:smooth val="0"/>
          <c:extLst>
            <c:ext xmlns:c16="http://schemas.microsoft.com/office/drawing/2014/chart" uri="{C3380CC4-5D6E-409C-BE32-E72D297353CC}">
              <c16:uniqueId val="{00000002-63E8-4660-B555-A834082E2C7F}"/>
            </c:ext>
          </c:extLst>
        </c:ser>
        <c:dLbls>
          <c:showLegendKey val="0"/>
          <c:showVal val="0"/>
          <c:showCatName val="0"/>
          <c:showSerName val="0"/>
          <c:showPercent val="0"/>
          <c:showBubbleSize val="0"/>
        </c:dLbls>
        <c:smooth val="0"/>
        <c:axId val="1523228928"/>
        <c:axId val="1523229408"/>
      </c:lineChart>
      <c:catAx>
        <c:axId val="152322892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523229408"/>
        <c:crosses val="autoZero"/>
        <c:auto val="1"/>
        <c:lblAlgn val="ctr"/>
        <c:lblOffset val="100"/>
        <c:noMultiLvlLbl val="0"/>
      </c:catAx>
      <c:valAx>
        <c:axId val="1523229408"/>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sk-SK"/>
                  <a:t>%</a:t>
                </a:r>
              </a:p>
            </c:rich>
          </c:tx>
          <c:layout>
            <c:manualLayout>
              <c:xMode val="edge"/>
              <c:yMode val="edge"/>
              <c:x val="4.8442897775313958E-2"/>
              <c:y val="9.277337927523302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sk-S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523228928"/>
        <c:crosses val="autoZero"/>
        <c:crossBetween val="between"/>
      </c:valAx>
      <c:spPr>
        <a:noFill/>
        <a:ln>
          <a:noFill/>
        </a:ln>
        <a:effectLst/>
      </c:spPr>
    </c:plotArea>
    <c:legend>
      <c:legendPos val="b"/>
      <c:layout>
        <c:manualLayout>
          <c:xMode val="edge"/>
          <c:yMode val="edge"/>
          <c:x val="0.25070716277376731"/>
          <c:y val="0.91810662827345113"/>
          <c:w val="0.55625560921348682"/>
          <c:h val="6.5432470643862317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sk-SK"/>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lgn="l">
              <a:defRPr/>
            </a:pPr>
            <a:r>
              <a:rPr lang="sk-SK" sz="900"/>
              <a:t>      G5. Vybrané ukazovatele trhu práce</a:t>
            </a:r>
          </a:p>
          <a:p>
            <a:pPr algn="l">
              <a:defRPr/>
            </a:pPr>
            <a:r>
              <a:rPr lang="sk-SK" sz="900" b="0"/>
              <a:t>      (VZPS, v</a:t>
            </a:r>
            <a:r>
              <a:rPr lang="sk-SK" sz="900" b="0" baseline="0"/>
              <a:t> tis. osôb)</a:t>
            </a:r>
            <a:r>
              <a:rPr lang="sk-SK" sz="900" b="0"/>
              <a:t>  </a:t>
            </a:r>
          </a:p>
        </c:rich>
      </c:tx>
      <c:layout>
        <c:manualLayout>
          <c:xMode val="edge"/>
          <c:yMode val="edge"/>
          <c:x val="1.437552258720484E-3"/>
          <c:y val="1.4466029116602643E-2"/>
        </c:manualLayout>
      </c:layout>
      <c:overlay val="0"/>
      <c:spPr>
        <a:noFill/>
        <a:ln>
          <a:noFill/>
        </a:ln>
        <a:effectLst/>
      </c:spPr>
    </c:title>
    <c:autoTitleDeleted val="0"/>
    <c:plotArea>
      <c:layout>
        <c:manualLayout>
          <c:layoutTarget val="inner"/>
          <c:xMode val="edge"/>
          <c:yMode val="edge"/>
          <c:x val="5.8335087793170246E-2"/>
          <c:y val="0.18823747698069315"/>
          <c:w val="0.91744393871863783"/>
          <c:h val="0.64502788215302864"/>
        </c:manualLayout>
      </c:layout>
      <c:barChart>
        <c:barDir val="col"/>
        <c:grouping val="clustered"/>
        <c:varyColors val="0"/>
        <c:ser>
          <c:idx val="0"/>
          <c:order val="0"/>
          <c:tx>
            <c:strRef>
              <c:f>'G5 4Q24_trh prace NOVY'!$O$3</c:f>
              <c:strCache>
                <c:ptCount val="1"/>
                <c:pt idx="0">
                  <c:v>4.Q 2024</c:v>
                </c:pt>
              </c:strCache>
            </c:strRef>
          </c:tx>
          <c:spPr>
            <a:solidFill>
              <a:schemeClr val="accent1"/>
            </a:solidFill>
            <a:ln>
              <a:solidFill>
                <a:schemeClr val="tx2">
                  <a:lumMod val="60000"/>
                  <a:lumOff val="40000"/>
                </a:schemeClr>
              </a:solidFill>
            </a:ln>
            <a:effectLst/>
          </c:spPr>
          <c:invertIfNegative val="0"/>
          <c:dPt>
            <c:idx val="1"/>
            <c:invertIfNegative val="0"/>
            <c:bubble3D val="0"/>
            <c:extLst>
              <c:ext xmlns:c16="http://schemas.microsoft.com/office/drawing/2014/chart" uri="{C3380CC4-5D6E-409C-BE32-E72D297353CC}">
                <c16:uniqueId val="{00000000-B81C-4723-961C-1AAFD21DBF1E}"/>
              </c:ext>
            </c:extLst>
          </c:dPt>
          <c:dPt>
            <c:idx val="2"/>
            <c:invertIfNegative val="0"/>
            <c:bubble3D val="0"/>
            <c:extLst>
              <c:ext xmlns:c16="http://schemas.microsoft.com/office/drawing/2014/chart" uri="{C3380CC4-5D6E-409C-BE32-E72D297353CC}">
                <c16:uniqueId val="{00000001-B81C-4723-961C-1AAFD21DBF1E}"/>
              </c:ext>
            </c:extLst>
          </c:dPt>
          <c:dLbls>
            <c:dLbl>
              <c:idx val="0"/>
              <c:tx>
                <c:rich>
                  <a:bodyPr/>
                  <a:lstStyle/>
                  <a:p>
                    <a:fld id="{1BBCE45B-BF75-4501-8B76-7CA9142EA33E}" type="VALUE">
                      <a:rPr lang="en-US"/>
                      <a:pPr/>
                      <a:t>[HODNOTA]</a:t>
                    </a:fld>
                    <a:r>
                      <a:rPr lang="en-US"/>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B81C-4723-961C-1AAFD21DBF1E}"/>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'G5 4Q24_trh prace NOVY'!$N$4:$N$6</c:f>
              <c:strCache>
                <c:ptCount val="3"/>
                <c:pt idx="0">
                  <c:v>4.Q 2024      4.Q 2025
pracujúci</c:v>
                </c:pt>
                <c:pt idx="1">
                  <c:v>4.Q 2024      4.Q 2025
nezamestnaní</c:v>
                </c:pt>
                <c:pt idx="2">
                  <c:v>4.Q 2024      4.Q 2025
pracujúci v zahraničí</c:v>
                </c:pt>
              </c:strCache>
            </c:strRef>
          </c:cat>
          <c:val>
            <c:numRef>
              <c:f>'G5 4Q24_trh prace NOVY'!$O$4:$O$6</c:f>
              <c:numCache>
                <c:formatCode>General</c:formatCode>
                <c:ptCount val="3"/>
                <c:pt idx="0">
                  <c:v>2646.8</c:v>
                </c:pt>
                <c:pt idx="1">
                  <c:v>145.30000000000001</c:v>
                </c:pt>
                <c:pt idx="2" formatCode="0.0">
                  <c:v>117.6</c:v>
                </c:pt>
              </c:numCache>
            </c:numRef>
          </c:val>
          <c:extLst>
            <c:ext xmlns:c16="http://schemas.microsoft.com/office/drawing/2014/chart" uri="{C3380CC4-5D6E-409C-BE32-E72D297353CC}">
              <c16:uniqueId val="{00000003-B81C-4723-961C-1AAFD21DBF1E}"/>
            </c:ext>
          </c:extLst>
        </c:ser>
        <c:ser>
          <c:idx val="1"/>
          <c:order val="1"/>
          <c:tx>
            <c:strRef>
              <c:f>'G5 4Q24_trh prace NOVY'!$P$3</c:f>
              <c:strCache>
                <c:ptCount val="1"/>
                <c:pt idx="0">
                  <c:v>4.Q 2025</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'G5 4Q24_trh prace NOVY'!$N$4:$N$6</c:f>
              <c:strCache>
                <c:ptCount val="3"/>
                <c:pt idx="0">
                  <c:v>4.Q 2024      4.Q 2025
pracujúci</c:v>
                </c:pt>
                <c:pt idx="1">
                  <c:v>4.Q 2024      4.Q 2025
nezamestnaní</c:v>
                </c:pt>
                <c:pt idx="2">
                  <c:v>4.Q 2024      4.Q 2025
pracujúci v zahraničí</c:v>
                </c:pt>
              </c:strCache>
            </c:strRef>
          </c:cat>
          <c:val>
            <c:numRef>
              <c:f>'G5 4Q24_trh prace NOVY'!$P$4:$P$6</c:f>
              <c:numCache>
                <c:formatCode>General</c:formatCode>
                <c:ptCount val="3"/>
                <c:pt idx="0">
                  <c:v>2626.1</c:v>
                </c:pt>
                <c:pt idx="1">
                  <c:v>154.80000000000001</c:v>
                </c:pt>
                <c:pt idx="2">
                  <c:v>123.3</c:v>
                </c:pt>
              </c:numCache>
            </c:numRef>
          </c:val>
          <c:extLst>
            <c:ext xmlns:c16="http://schemas.microsoft.com/office/drawing/2014/chart" uri="{C3380CC4-5D6E-409C-BE32-E72D297353CC}">
              <c16:uniqueId val="{00000004-B81C-4723-961C-1AAFD21DBF1E}"/>
            </c:ext>
          </c:extLst>
        </c:ser>
        <c:dLbls>
          <c:showLegendKey val="0"/>
          <c:showVal val="0"/>
          <c:showCatName val="0"/>
          <c:showSerName val="0"/>
          <c:showPercent val="0"/>
          <c:showBubbleSize val="0"/>
        </c:dLbls>
        <c:gapWidth val="139"/>
        <c:overlap val="-27"/>
        <c:axId val="421053792"/>
        <c:axId val="421051440"/>
      </c:barChart>
      <c:catAx>
        <c:axId val="421053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sk-SK"/>
          </a:p>
        </c:txPr>
        <c:crossAx val="421051440"/>
        <c:crosses val="autoZero"/>
        <c:auto val="1"/>
        <c:lblAlgn val="ctr"/>
        <c:lblOffset val="100"/>
        <c:noMultiLvlLbl val="0"/>
      </c:catAx>
      <c:valAx>
        <c:axId val="421051440"/>
        <c:scaling>
          <c:orientation val="minMax"/>
          <c:max val="2700"/>
          <c:min val="0"/>
        </c:scaling>
        <c:delete val="0"/>
        <c:axPos val="l"/>
        <c:numFmt formatCode="General" sourceLinked="1"/>
        <c:majorTickMark val="out"/>
        <c:minorTickMark val="none"/>
        <c:tickLblPos val="nextTo"/>
        <c:crossAx val="4210537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ysClr val="windowText" lastClr="000000"/>
          </a:solidFill>
          <a:latin typeface="Arial" panose="020B0604020202020204" pitchFamily="34" charset="0"/>
          <a:cs typeface="Arial" panose="020B0604020202020204" pitchFamily="34" charset="0"/>
        </a:defRPr>
      </a:pPr>
      <a:endParaRPr lang="sk-SK"/>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Arial"/>
                <a:ea typeface="Arial"/>
                <a:cs typeface="Arial"/>
              </a:defRPr>
            </a:pPr>
            <a:r>
              <a:rPr lang="sk-SK" sz="900" b="1"/>
              <a:t>G6. Priemerná </a:t>
            </a:r>
            <a:r>
              <a:rPr lang="sk-SK" sz="900" b="1">
                <a:latin typeface="Arial" panose="020B0604020202020204" pitchFamily="34" charset="0"/>
                <a:cs typeface="Arial" panose="020B0604020202020204" pitchFamily="34" charset="0"/>
              </a:rPr>
              <a:t>mesačná</a:t>
            </a:r>
            <a:r>
              <a:rPr lang="sk-SK" sz="900" b="1"/>
              <a:t> mzda podľa odvetví vo 4. štvrťroku 2025</a:t>
            </a:r>
          </a:p>
        </c:rich>
      </c:tx>
      <c:layout>
        <c:manualLayout>
          <c:xMode val="edge"/>
          <c:yMode val="edge"/>
          <c:x val="8.7481819549626392E-3"/>
          <c:y val="1.3160169003264834E-2"/>
        </c:manualLayout>
      </c:layout>
      <c:overlay val="0"/>
      <c:spPr>
        <a:noFill/>
        <a:ln w="25400">
          <a:noFill/>
        </a:ln>
        <a:effectLst/>
      </c:spPr>
    </c:title>
    <c:autoTitleDeleted val="0"/>
    <c:plotArea>
      <c:layout>
        <c:manualLayout>
          <c:layoutTarget val="inner"/>
          <c:xMode val="edge"/>
          <c:yMode val="edge"/>
          <c:x val="8.8424506713872461E-2"/>
          <c:y val="0.16897233999596203"/>
          <c:w val="0.8469185857262348"/>
          <c:h val="0.41551779128874711"/>
        </c:manualLayout>
      </c:layout>
      <c:barChart>
        <c:barDir val="col"/>
        <c:grouping val="clustered"/>
        <c:varyColors val="0"/>
        <c:ser>
          <c:idx val="1"/>
          <c:order val="0"/>
          <c:tx>
            <c:strRef>
              <c:f>'G6 2Q24_mzda'!$B$24</c:f>
              <c:strCache>
                <c:ptCount val="1"/>
                <c:pt idx="0">
                  <c:v>EUR</c:v>
                </c:pt>
              </c:strCache>
            </c:strRef>
          </c:tx>
          <c:spPr>
            <a:solidFill>
              <a:srgbClr val="174773"/>
            </a:solidFill>
            <a:ln w="12700">
              <a:noFill/>
              <a:prstDash val="solid"/>
            </a:ln>
          </c:spPr>
          <c:invertIfNegative val="0"/>
          <c:cat>
            <c:strRef>
              <c:f>'G6 2Q24_mzda'!$A$25:$A$40</c:f>
              <c:strCache>
                <c:ptCount val="16"/>
                <c:pt idx="0">
                  <c:v>pôdohospodárstvo</c:v>
                </c:pt>
                <c:pt idx="1">
                  <c:v>priemysel</c:v>
                </c:pt>
                <c:pt idx="2">
                  <c:v>stavebníctvo</c:v>
                </c:pt>
                <c:pt idx="3">
                  <c:v>vnútorný obchod</c:v>
                </c:pt>
                <c:pt idx="4">
                  <c:v>doprava a skladovanie</c:v>
                </c:pt>
                <c:pt idx="5">
                  <c:v>ubytovacie a stravovacie služby</c:v>
                </c:pt>
                <c:pt idx="6">
                  <c:v>informácie a komunikácia</c:v>
                </c:pt>
                <c:pt idx="7">
                  <c:v>finanč. a poisť. služby</c:v>
                </c:pt>
                <c:pt idx="8">
                  <c:v>činnosti v obl. nehnuteľností</c:v>
                </c:pt>
                <c:pt idx="9">
                  <c:v>odborné, vedecké a tech. činnosti</c:v>
                </c:pt>
                <c:pt idx="10">
                  <c:v>administratívne služby</c:v>
                </c:pt>
                <c:pt idx="11">
                  <c:v>verejná správa</c:v>
                </c:pt>
                <c:pt idx="12">
                  <c:v>vzdelávanie</c:v>
                </c:pt>
                <c:pt idx="13">
                  <c:v>zdravotníctvo</c:v>
                </c:pt>
                <c:pt idx="14">
                  <c:v>umenie, zábava, rekreácia</c:v>
                </c:pt>
                <c:pt idx="15">
                  <c:v>ostatné činnosti</c:v>
                </c:pt>
              </c:strCache>
            </c:strRef>
          </c:cat>
          <c:val>
            <c:numRef>
              <c:f>'G6 2Q24_mzda'!$B$25:$B$40</c:f>
              <c:numCache>
                <c:formatCode>General</c:formatCode>
                <c:ptCount val="16"/>
                <c:pt idx="0">
                  <c:v>1332</c:v>
                </c:pt>
                <c:pt idx="1">
                  <c:v>1884</c:v>
                </c:pt>
                <c:pt idx="2">
                  <c:v>1205</c:v>
                </c:pt>
                <c:pt idx="3">
                  <c:v>1597</c:v>
                </c:pt>
                <c:pt idx="4">
                  <c:v>1671</c:v>
                </c:pt>
                <c:pt idx="5">
                  <c:v>1010</c:v>
                </c:pt>
                <c:pt idx="6">
                  <c:v>2882</c:v>
                </c:pt>
                <c:pt idx="7">
                  <c:v>2821</c:v>
                </c:pt>
                <c:pt idx="8">
                  <c:v>1521</c:v>
                </c:pt>
                <c:pt idx="9">
                  <c:v>1950</c:v>
                </c:pt>
                <c:pt idx="10">
                  <c:v>1308</c:v>
                </c:pt>
                <c:pt idx="11">
                  <c:v>2400</c:v>
                </c:pt>
                <c:pt idx="12">
                  <c:v>1762</c:v>
                </c:pt>
                <c:pt idx="13">
                  <c:v>2072</c:v>
                </c:pt>
                <c:pt idx="14">
                  <c:v>1525</c:v>
                </c:pt>
                <c:pt idx="15">
                  <c:v>1207</c:v>
                </c:pt>
              </c:numCache>
            </c:numRef>
          </c:val>
          <c:extLst>
            <c:ext xmlns:c16="http://schemas.microsoft.com/office/drawing/2014/chart" uri="{C3380CC4-5D6E-409C-BE32-E72D297353CC}">
              <c16:uniqueId val="{00000000-327D-4515-86A6-76BB15C3B693}"/>
            </c:ext>
          </c:extLst>
        </c:ser>
        <c:dLbls>
          <c:showLegendKey val="0"/>
          <c:showVal val="0"/>
          <c:showCatName val="0"/>
          <c:showSerName val="0"/>
          <c:showPercent val="0"/>
          <c:showBubbleSize val="0"/>
        </c:dLbls>
        <c:gapWidth val="100"/>
        <c:axId val="421052616"/>
        <c:axId val="421053008"/>
      </c:barChart>
      <c:lineChart>
        <c:grouping val="standard"/>
        <c:varyColors val="0"/>
        <c:dLbls>
          <c:showLegendKey val="0"/>
          <c:showVal val="0"/>
          <c:showCatName val="0"/>
          <c:showSerName val="0"/>
          <c:showPercent val="0"/>
          <c:showBubbleSize val="0"/>
        </c:dLbls>
        <c:marker val="1"/>
        <c:smooth val="0"/>
        <c:axId val="421054184"/>
        <c:axId val="421058496"/>
        <c:extLst>
          <c:ext xmlns:c15="http://schemas.microsoft.com/office/drawing/2012/chart" uri="{02D57815-91ED-43cb-92C2-25804820EDAC}">
            <c15:filteredLineSeries>
              <c15:ser>
                <c:idx val="0"/>
                <c:order val="1"/>
                <c:tx>
                  <c:strRef>
                    <c:extLst>
                      <c:ext uri="{02D57815-91ED-43cb-92C2-25804820EDAC}">
                        <c15:formulaRef>
                          <c15:sqref>'G6 2Q24_mzda'!$C$24</c15:sqref>
                        </c15:formulaRef>
                      </c:ext>
                    </c:extLst>
                    <c:strCache>
                      <c:ptCount val="1"/>
                      <c:pt idx="0">
                        <c:v>medziročná zmena v %</c:v>
                      </c:pt>
                    </c:strCache>
                  </c:strRef>
                </c:tx>
                <c:spPr>
                  <a:ln w="19050">
                    <a:noFill/>
                    <a:prstDash val="solid"/>
                  </a:ln>
                </c:spPr>
                <c:marker>
                  <c:symbol val="circle"/>
                  <c:size val="5"/>
                  <c:spPr>
                    <a:solidFill>
                      <a:srgbClr val="E3A935"/>
                    </a:solidFill>
                    <a:ln>
                      <a:solidFill>
                        <a:srgbClr val="E3A935"/>
                      </a:solidFill>
                      <a:prstDash val="solid"/>
                    </a:ln>
                  </c:spPr>
                </c:marker>
                <c:cat>
                  <c:strRef>
                    <c:extLst>
                      <c:ext uri="{02D57815-91ED-43cb-92C2-25804820EDAC}">
                        <c15:formulaRef>
                          <c15:sqref>'G6 2Q24_mzda'!$A$25:$A$40</c15:sqref>
                        </c15:formulaRef>
                      </c:ext>
                    </c:extLst>
                    <c:strCache>
                      <c:ptCount val="16"/>
                      <c:pt idx="0">
                        <c:v>pôdohospodárstvo</c:v>
                      </c:pt>
                      <c:pt idx="1">
                        <c:v>priemysel</c:v>
                      </c:pt>
                      <c:pt idx="2">
                        <c:v>stavebníctvo</c:v>
                      </c:pt>
                      <c:pt idx="3">
                        <c:v>vnútorný obchod</c:v>
                      </c:pt>
                      <c:pt idx="4">
                        <c:v>doprava a skladovanie</c:v>
                      </c:pt>
                      <c:pt idx="5">
                        <c:v>ubytovacie a stravovacie služby</c:v>
                      </c:pt>
                      <c:pt idx="6">
                        <c:v>informácie a komunikácia</c:v>
                      </c:pt>
                      <c:pt idx="7">
                        <c:v>finanč. a poisť. služby</c:v>
                      </c:pt>
                      <c:pt idx="8">
                        <c:v>činnosti v obl. nehnuteľností</c:v>
                      </c:pt>
                      <c:pt idx="9">
                        <c:v>odborné, vedecké a tech. činnosti</c:v>
                      </c:pt>
                      <c:pt idx="10">
                        <c:v>administratívne služby</c:v>
                      </c:pt>
                      <c:pt idx="11">
                        <c:v>verejná správa</c:v>
                      </c:pt>
                      <c:pt idx="12">
                        <c:v>vzdelávanie</c:v>
                      </c:pt>
                      <c:pt idx="13">
                        <c:v>zdravotníctvo</c:v>
                      </c:pt>
                      <c:pt idx="14">
                        <c:v>umenie, zábava, rekreácia</c:v>
                      </c:pt>
                      <c:pt idx="15">
                        <c:v>ostatné činnosti</c:v>
                      </c:pt>
                    </c:strCache>
                  </c:strRef>
                </c:cat>
                <c:val>
                  <c:numRef>
                    <c:extLst>
                      <c:ext uri="{02D57815-91ED-43cb-92C2-25804820EDAC}">
                        <c15:formulaRef>
                          <c15:sqref>'G6 2Q24_mzda'!$C$25:$C$40</c15:sqref>
                        </c15:formulaRef>
                      </c:ext>
                    </c:extLst>
                    <c:numCache>
                      <c:formatCode>0.0</c:formatCode>
                      <c:ptCount val="16"/>
                      <c:pt idx="0">
                        <c:v>6.0999999999999943</c:v>
                      </c:pt>
                      <c:pt idx="1">
                        <c:v>6.7000000000000028</c:v>
                      </c:pt>
                      <c:pt idx="2">
                        <c:v>7.5999999999999943</c:v>
                      </c:pt>
                      <c:pt idx="3">
                        <c:v>5.5999999999999943</c:v>
                      </c:pt>
                      <c:pt idx="4">
                        <c:v>5.2000000000000028</c:v>
                      </c:pt>
                      <c:pt idx="5">
                        <c:v>7.9000000000000057</c:v>
                      </c:pt>
                      <c:pt idx="6">
                        <c:v>6.5</c:v>
                      </c:pt>
                      <c:pt idx="7">
                        <c:v>9.2000000000000028</c:v>
                      </c:pt>
                      <c:pt idx="8">
                        <c:v>3.4000000000000057</c:v>
                      </c:pt>
                      <c:pt idx="9">
                        <c:v>6.7999999999999972</c:v>
                      </c:pt>
                      <c:pt idx="10">
                        <c:v>3.2000000000000028</c:v>
                      </c:pt>
                      <c:pt idx="11">
                        <c:v>2.5999999999999943</c:v>
                      </c:pt>
                      <c:pt idx="12">
                        <c:v>6</c:v>
                      </c:pt>
                      <c:pt idx="13">
                        <c:v>9.7000000000000028</c:v>
                      </c:pt>
                      <c:pt idx="14">
                        <c:v>6.4000000000000057</c:v>
                      </c:pt>
                      <c:pt idx="15">
                        <c:v>8.9000000000000057</c:v>
                      </c:pt>
                    </c:numCache>
                  </c:numRef>
                </c:val>
                <c:smooth val="1"/>
                <c:extLst>
                  <c:ext xmlns:c16="http://schemas.microsoft.com/office/drawing/2014/chart" uri="{C3380CC4-5D6E-409C-BE32-E72D297353CC}">
                    <c16:uniqueId val="{00000001-327D-4515-86A6-76BB15C3B693}"/>
                  </c:ext>
                </c:extLst>
              </c15:ser>
            </c15:filteredLineSeries>
          </c:ext>
        </c:extLst>
      </c:lineChart>
      <c:catAx>
        <c:axId val="421052616"/>
        <c:scaling>
          <c:orientation val="minMax"/>
        </c:scaling>
        <c:delete val="0"/>
        <c:axPos val="b"/>
        <c:numFmt formatCode="General" sourceLinked="1"/>
        <c:majorTickMark val="cross"/>
        <c:minorTickMark val="in"/>
        <c:tickLblPos val="low"/>
        <c:spPr>
          <a:ln w="3175">
            <a:solidFill>
              <a:srgbClr val="000000"/>
            </a:solidFill>
            <a:prstDash val="solid"/>
          </a:ln>
        </c:spPr>
        <c:txPr>
          <a:bodyPr rot="-5400000" vert="horz"/>
          <a:lstStyle/>
          <a:p>
            <a:pPr>
              <a:defRPr sz="800" b="0" i="0" u="none" strike="noStrike" baseline="0">
                <a:solidFill>
                  <a:srgbClr val="000000"/>
                </a:solidFill>
                <a:latin typeface="Arial"/>
                <a:ea typeface="Arial"/>
                <a:cs typeface="Arial"/>
              </a:defRPr>
            </a:pPr>
            <a:endParaRPr lang="sk-SK"/>
          </a:p>
        </c:txPr>
        <c:crossAx val="421053008"/>
        <c:crossesAt val="0"/>
        <c:auto val="0"/>
        <c:lblAlgn val="ctr"/>
        <c:lblOffset val="100"/>
        <c:tickLblSkip val="1"/>
        <c:tickMarkSkip val="1"/>
        <c:noMultiLvlLbl val="0"/>
      </c:catAx>
      <c:valAx>
        <c:axId val="421053008"/>
        <c:scaling>
          <c:orientation val="minMax"/>
          <c:max val="2900"/>
          <c:min val="0"/>
        </c:scaling>
        <c:delete val="0"/>
        <c:axPos val="l"/>
        <c:numFmt formatCode="0;[White]0" sourceLinked="0"/>
        <c:majorTickMark val="cross"/>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sk-SK"/>
          </a:p>
        </c:txPr>
        <c:crossAx val="421052616"/>
        <c:crosses val="autoZero"/>
        <c:crossBetween val="between"/>
        <c:majorUnit val="400"/>
      </c:valAx>
      <c:catAx>
        <c:axId val="421054184"/>
        <c:scaling>
          <c:orientation val="minMax"/>
        </c:scaling>
        <c:delete val="1"/>
        <c:axPos val="b"/>
        <c:numFmt formatCode="General" sourceLinked="1"/>
        <c:majorTickMark val="out"/>
        <c:minorTickMark val="none"/>
        <c:tickLblPos val="nextTo"/>
        <c:crossAx val="421058496"/>
        <c:crosses val="autoZero"/>
        <c:auto val="0"/>
        <c:lblAlgn val="ctr"/>
        <c:lblOffset val="100"/>
        <c:noMultiLvlLbl val="0"/>
      </c:catAx>
      <c:valAx>
        <c:axId val="421058496"/>
        <c:scaling>
          <c:orientation val="minMax"/>
          <c:max val="24"/>
          <c:min val="0"/>
        </c:scaling>
        <c:delete val="1"/>
        <c:axPos val="r"/>
        <c:numFmt formatCode="0" sourceLinked="0"/>
        <c:majorTickMark val="cross"/>
        <c:minorTickMark val="none"/>
        <c:tickLblPos val="nextTo"/>
        <c:crossAx val="421054184"/>
        <c:crosses val="max"/>
        <c:crossBetween val="between"/>
        <c:majorUnit val="4"/>
      </c:valAx>
    </c:plotArea>
    <c:plotVisOnly val="1"/>
    <c:dispBlanksAs val="gap"/>
    <c:showDLblsOverMax val="0"/>
  </c:chart>
  <c:spPr>
    <a:solidFill>
      <a:srgbClr val="FFFFFF"/>
    </a:solidFill>
    <a:ln w="3175">
      <a:noFill/>
      <a:prstDash val="solid"/>
    </a:ln>
  </c:spPr>
  <c:txPr>
    <a:bodyPr/>
    <a:lstStyle/>
    <a:p>
      <a:pPr>
        <a:defRPr sz="1000" b="0" i="0" u="none" strike="noStrike" baseline="0">
          <a:solidFill>
            <a:srgbClr val="000000"/>
          </a:solidFill>
          <a:latin typeface="Arial"/>
          <a:ea typeface="Arial"/>
          <a:cs typeface="Arial"/>
        </a:defRPr>
      </a:pPr>
      <a:endParaRPr lang="sk-SK"/>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solidFill>
                  <a:sysClr val="windowText" lastClr="000000"/>
                </a:solidFill>
                <a:latin typeface="Arial" panose="020B0604020202020204" pitchFamily="34" charset="0"/>
                <a:cs typeface="Arial" panose="020B0604020202020204" pitchFamily="34" charset="0"/>
              </a:rPr>
              <a:t>G7 </a:t>
            </a:r>
            <a:r>
              <a:rPr lang="en-US" sz="900" b="1">
                <a:solidFill>
                  <a:sysClr val="windowText" lastClr="000000"/>
                </a:solidFill>
                <a:latin typeface="Arial" panose="020B0604020202020204" pitchFamily="34" charset="0"/>
                <a:cs typeface="Arial" panose="020B0604020202020204" pitchFamily="34" charset="0"/>
              </a:rPr>
              <a:t>Rast/pokles reálnej mzdy podľa odvetví v</a:t>
            </a:r>
            <a:r>
              <a:rPr lang="sk-SK" sz="900" b="1">
                <a:solidFill>
                  <a:sysClr val="windowText" lastClr="000000"/>
                </a:solidFill>
                <a:latin typeface="Arial" panose="020B0604020202020204" pitchFamily="34" charset="0"/>
                <a:cs typeface="Arial" panose="020B0604020202020204" pitchFamily="34" charset="0"/>
              </a:rPr>
              <a:t>o</a:t>
            </a:r>
            <a:r>
              <a:rPr lang="en-US" sz="900" b="1">
                <a:solidFill>
                  <a:sysClr val="windowText" lastClr="000000"/>
                </a:solidFill>
                <a:latin typeface="Arial" panose="020B0604020202020204" pitchFamily="34" charset="0"/>
                <a:cs typeface="Arial" panose="020B0604020202020204" pitchFamily="34" charset="0"/>
              </a:rPr>
              <a:t> </a:t>
            </a:r>
            <a:r>
              <a:rPr lang="sk-SK" sz="900" b="1">
                <a:solidFill>
                  <a:sysClr val="windowText" lastClr="000000"/>
                </a:solidFill>
                <a:latin typeface="Arial" panose="020B0604020202020204" pitchFamily="34" charset="0"/>
                <a:cs typeface="Arial" panose="020B0604020202020204" pitchFamily="34" charset="0"/>
              </a:rPr>
              <a:t>4</a:t>
            </a:r>
            <a:r>
              <a:rPr lang="en-US" sz="900" b="1">
                <a:solidFill>
                  <a:sysClr val="windowText" lastClr="000000"/>
                </a:solidFill>
                <a:latin typeface="Arial" panose="020B0604020202020204" pitchFamily="34" charset="0"/>
                <a:cs typeface="Arial" panose="020B0604020202020204" pitchFamily="34" charset="0"/>
              </a:rPr>
              <a:t>. štvrťroku 2025  </a:t>
            </a:r>
          </a:p>
        </c:rich>
      </c:tx>
      <c:layout>
        <c:manualLayout>
          <c:xMode val="edge"/>
          <c:yMode val="edge"/>
          <c:x val="2.1701224846894143E-2"/>
          <c:y val="1.6835012371745707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barChart>
        <c:barDir val="bar"/>
        <c:grouping val="clustered"/>
        <c:varyColors val="0"/>
        <c:ser>
          <c:idx val="0"/>
          <c:order val="0"/>
          <c:tx>
            <c:strRef>
              <c:f>'G6 2Q24_mzda'!$L$29</c:f>
              <c:strCache>
                <c:ptCount val="1"/>
                <c:pt idx="0">
                  <c:v>medziročná zmena v %</c:v>
                </c:pt>
              </c:strCache>
            </c:strRef>
          </c:tx>
          <c:spPr>
            <a:solidFill>
              <a:schemeClr val="accent6">
                <a:lumMod val="75000"/>
              </a:schemeClr>
            </a:solidFill>
            <a:ln>
              <a:solidFill>
                <a:schemeClr val="accent6">
                  <a:lumMod val="75000"/>
                </a:schemeClr>
              </a:solidFill>
            </a:ln>
            <a:effectLst/>
          </c:spPr>
          <c:invertIfNegative val="0"/>
          <c:dPt>
            <c:idx val="3"/>
            <c:invertIfNegative val="0"/>
            <c:bubble3D val="0"/>
            <c:spPr>
              <a:solidFill>
                <a:schemeClr val="accent6">
                  <a:lumMod val="75000"/>
                </a:schemeClr>
              </a:solidFill>
              <a:ln>
                <a:noFill/>
              </a:ln>
              <a:effectLst/>
            </c:spPr>
            <c:extLst>
              <c:ext xmlns:c16="http://schemas.microsoft.com/office/drawing/2014/chart" uri="{C3380CC4-5D6E-409C-BE32-E72D297353CC}">
                <c16:uniqueId val="{00000001-8E0F-4885-9B78-6E27BA5DE317}"/>
              </c:ext>
            </c:extLst>
          </c:dPt>
          <c:dPt>
            <c:idx val="4"/>
            <c:invertIfNegative val="0"/>
            <c:bubble3D val="0"/>
            <c:spPr>
              <a:solidFill>
                <a:schemeClr val="accent6">
                  <a:lumMod val="75000"/>
                </a:schemeClr>
              </a:solidFill>
              <a:ln>
                <a:noFill/>
              </a:ln>
              <a:effectLst/>
            </c:spPr>
            <c:extLst>
              <c:ext xmlns:c16="http://schemas.microsoft.com/office/drawing/2014/chart" uri="{C3380CC4-5D6E-409C-BE32-E72D297353CC}">
                <c16:uniqueId val="{00000003-8E0F-4885-9B78-6E27BA5DE317}"/>
              </c:ext>
            </c:extLst>
          </c:dPt>
          <c:cat>
            <c:strRef>
              <c:f>'G6 2Q24_mzda'!$K$30:$K$45</c:f>
              <c:strCache>
                <c:ptCount val="16"/>
                <c:pt idx="0">
                  <c:v>ostatné činnosti</c:v>
                </c:pt>
                <c:pt idx="1">
                  <c:v>umenie, zábava, rekreácia</c:v>
                </c:pt>
                <c:pt idx="2">
                  <c:v>zdravotníctvo</c:v>
                </c:pt>
                <c:pt idx="3">
                  <c:v>vzdelávanie</c:v>
                </c:pt>
                <c:pt idx="4">
                  <c:v>verejná správa</c:v>
                </c:pt>
                <c:pt idx="5">
                  <c:v>administratívne služby</c:v>
                </c:pt>
                <c:pt idx="6">
                  <c:v>odborné, vedecké a tech. činnosti</c:v>
                </c:pt>
                <c:pt idx="7">
                  <c:v>činnosti v obl. nehnuteľností</c:v>
                </c:pt>
                <c:pt idx="8">
                  <c:v>finanč. a poisť. služby</c:v>
                </c:pt>
                <c:pt idx="9">
                  <c:v>informácie a komunikácia</c:v>
                </c:pt>
                <c:pt idx="10">
                  <c:v>ubytovacie a stravovacie služby</c:v>
                </c:pt>
                <c:pt idx="11">
                  <c:v>doprava a skladovanie</c:v>
                </c:pt>
                <c:pt idx="12">
                  <c:v>vnútorný obchod</c:v>
                </c:pt>
                <c:pt idx="13">
                  <c:v>stavebníctvo</c:v>
                </c:pt>
                <c:pt idx="14">
                  <c:v>priemysel</c:v>
                </c:pt>
                <c:pt idx="15">
                  <c:v>pôdohospodárstvo</c:v>
                </c:pt>
              </c:strCache>
            </c:strRef>
          </c:cat>
          <c:val>
            <c:numRef>
              <c:f>'G6 2Q24_mzda'!$L$30:$L$45</c:f>
              <c:numCache>
                <c:formatCode>General</c:formatCode>
                <c:ptCount val="16"/>
                <c:pt idx="0">
                  <c:v>4.9000000000000057</c:v>
                </c:pt>
                <c:pt idx="1">
                  <c:v>2.5</c:v>
                </c:pt>
                <c:pt idx="2">
                  <c:v>5.7000000000000028</c:v>
                </c:pt>
                <c:pt idx="3">
                  <c:v>2.0999999999999943</c:v>
                </c:pt>
                <c:pt idx="4">
                  <c:v>-1.2000000000000028</c:v>
                </c:pt>
                <c:pt idx="5">
                  <c:v>-0.59999999999999432</c:v>
                </c:pt>
                <c:pt idx="6">
                  <c:v>2.9000000000000057</c:v>
                </c:pt>
                <c:pt idx="7">
                  <c:v>-0.40000000000000568</c:v>
                </c:pt>
                <c:pt idx="8">
                  <c:v>5.2000000000000028</c:v>
                </c:pt>
                <c:pt idx="9">
                  <c:v>2.5999999999999943</c:v>
                </c:pt>
                <c:pt idx="10">
                  <c:v>3.9000000000000057</c:v>
                </c:pt>
                <c:pt idx="11">
                  <c:v>1.2999999999999972</c:v>
                </c:pt>
                <c:pt idx="12">
                  <c:v>1.7000000000000028</c:v>
                </c:pt>
                <c:pt idx="13">
                  <c:v>3.7000000000000028</c:v>
                </c:pt>
                <c:pt idx="14">
                  <c:v>2.7999999999999972</c:v>
                </c:pt>
                <c:pt idx="15">
                  <c:v>2.2000000000000028</c:v>
                </c:pt>
              </c:numCache>
            </c:numRef>
          </c:val>
          <c:extLst>
            <c:ext xmlns:c16="http://schemas.microsoft.com/office/drawing/2014/chart" uri="{C3380CC4-5D6E-409C-BE32-E72D297353CC}">
              <c16:uniqueId val="{00000004-8E0F-4885-9B78-6E27BA5DE317}"/>
            </c:ext>
          </c:extLst>
        </c:ser>
        <c:dLbls>
          <c:showLegendKey val="0"/>
          <c:showVal val="0"/>
          <c:showCatName val="0"/>
          <c:showSerName val="0"/>
          <c:showPercent val="0"/>
          <c:showBubbleSize val="0"/>
        </c:dLbls>
        <c:gapWidth val="62"/>
        <c:axId val="1594682944"/>
        <c:axId val="1594668544"/>
      </c:barChart>
      <c:catAx>
        <c:axId val="1594682944"/>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594668544"/>
        <c:crosses val="autoZero"/>
        <c:auto val="1"/>
        <c:lblAlgn val="ctr"/>
        <c:lblOffset val="100"/>
        <c:noMultiLvlLbl val="0"/>
      </c:catAx>
      <c:valAx>
        <c:axId val="1594668544"/>
        <c:scaling>
          <c:orientation val="minMax"/>
          <c:max val="6"/>
        </c:scaling>
        <c:delete val="0"/>
        <c:axPos val="b"/>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sk-SK"/>
          </a:p>
        </c:txPr>
        <c:crossAx val="15946829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0.9016</cdr:x>
      <cdr:y>0.12063</cdr:y>
    </cdr:from>
    <cdr:to>
      <cdr:x>0.97047</cdr:x>
      <cdr:y>0.1921</cdr:y>
    </cdr:to>
    <cdr:sp macro="" textlink="">
      <cdr:nvSpPr>
        <cdr:cNvPr id="6182"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18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18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185"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18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2"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5"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7"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8"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9"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10"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11"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12"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15"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1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17"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8"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9"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20"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21"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22"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2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2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25"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2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27"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28"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29"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30"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31"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176"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177"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178"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179"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180"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181"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187"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188"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189"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190"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191"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192"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193"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194"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195"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0.47468</cdr:x>
      <cdr:y>0.90062</cdr:y>
    </cdr:from>
    <cdr:to>
      <cdr:x>0.48909</cdr:x>
      <cdr:y>0.92833</cdr:y>
    </cdr:to>
    <cdr:sp macro="" textlink="">
      <cdr:nvSpPr>
        <cdr:cNvPr id="52" name="TextovéPole 51"/>
        <cdr:cNvSpPr txBox="1"/>
      </cdr:nvSpPr>
      <cdr:spPr>
        <a:xfrm xmlns:a="http://schemas.openxmlformats.org/drawingml/2006/main">
          <a:off x="2771775" y="2762250"/>
          <a:ext cx="85725" cy="85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196"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197"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198"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199"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00"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01"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02"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203"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04"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05"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06"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07"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3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33"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3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35"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36"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37"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38"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39"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40"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41"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4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43"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4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45"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46"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47"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48"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49"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50"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51"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5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55"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5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57"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59"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0"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1"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08"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09"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10"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11"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13"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14"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15"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0.47468</cdr:x>
      <cdr:y>0.90062</cdr:y>
    </cdr:from>
    <cdr:to>
      <cdr:x>0.48909</cdr:x>
      <cdr:y>0.92833</cdr:y>
    </cdr:to>
    <cdr:sp macro="" textlink="">
      <cdr:nvSpPr>
        <cdr:cNvPr id="6216" name="TextovéPole 51"/>
        <cdr:cNvSpPr txBox="1"/>
      </cdr:nvSpPr>
      <cdr:spPr>
        <a:xfrm xmlns:a="http://schemas.openxmlformats.org/drawingml/2006/main">
          <a:off x="2771775" y="2762250"/>
          <a:ext cx="85725" cy="85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18"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19"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220"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21"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22"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23"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24"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225"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26"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27"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28"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29"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230"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31"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32"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33"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34"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235"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6236"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6237"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6238"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39"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96"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97"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98"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99"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00"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01"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102"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103"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104"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05"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09"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110"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0.41982</cdr:x>
      <cdr:y>0.7948</cdr:y>
    </cdr:from>
    <cdr:to>
      <cdr:x>0.54333</cdr:x>
      <cdr:y>0.84473</cdr:y>
    </cdr:to>
    <cdr:sp macro="" textlink="">
      <cdr:nvSpPr>
        <cdr:cNvPr id="111"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0.9016</cdr:x>
      <cdr:y>0.12063</cdr:y>
    </cdr:from>
    <cdr:to>
      <cdr:x>0.97047</cdr:x>
      <cdr:y>0.1921</cdr:y>
    </cdr:to>
    <cdr:sp macro="" textlink="">
      <cdr:nvSpPr>
        <cdr:cNvPr id="112" name="text 1"/>
        <cdr:cNvSpPr txBox="1">
          <a:spLocks xmlns:a="http://schemas.openxmlformats.org/drawingml/2006/main" noChangeArrowheads="1"/>
        </cdr:cNvSpPr>
      </cdr:nvSpPr>
      <cdr:spPr bwMode="auto">
        <a:xfrm xmlns:a="http://schemas.openxmlformats.org/drawingml/2006/main">
          <a:off x="5270298" y="393652"/>
          <a:ext cx="414909" cy="2332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1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1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0.89202</cdr:x>
      <cdr:y>0.09542</cdr:y>
    </cdr:from>
    <cdr:to>
      <cdr:x>0.97121</cdr:x>
      <cdr:y>0.14873</cdr:y>
    </cdr:to>
    <cdr:sp macro="" textlink="">
      <cdr:nvSpPr>
        <cdr:cNvPr id="115" name="text 4"/>
        <cdr:cNvSpPr txBox="1">
          <a:spLocks xmlns:a="http://schemas.openxmlformats.org/drawingml/2006/main" noChangeArrowheads="1"/>
        </cdr:cNvSpPr>
      </cdr:nvSpPr>
      <cdr:spPr bwMode="auto">
        <a:xfrm xmlns:a="http://schemas.openxmlformats.org/drawingml/2006/main">
          <a:off x="5215553" y="311666"/>
          <a:ext cx="473976" cy="174407"/>
        </a:xfrm>
        <a:prstGeom xmlns:a="http://schemas.openxmlformats.org/drawingml/2006/main" prst="rect">
          <a:avLst/>
        </a:prstGeom>
        <a:solidFill xmlns:a="http://schemas.openxmlformats.org/drawingml/2006/main">
          <a:schemeClr val="bg1"/>
        </a:solidFill>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Arial"/>
            <a:cs typeface="Arial"/>
          </a:endParaRPr>
        </a:p>
      </cdr:txBody>
    </cdr:sp>
  </cdr:relSizeAnchor>
  <cdr:relSizeAnchor xmlns:cdr="http://schemas.openxmlformats.org/drawingml/2006/chartDrawing">
    <cdr:from>
      <cdr:x>0.41982</cdr:x>
      <cdr:y>0.7948</cdr:y>
    </cdr:from>
    <cdr:to>
      <cdr:x>0.54333</cdr:x>
      <cdr:y>0.84473</cdr:y>
    </cdr:to>
    <cdr:sp macro="" textlink="">
      <cdr:nvSpPr>
        <cdr:cNvPr id="11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18"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19"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121"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123"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124"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126"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0.47468</cdr:x>
      <cdr:y>0.90062</cdr:y>
    </cdr:from>
    <cdr:to>
      <cdr:x>0.48909</cdr:x>
      <cdr:y>0.92833</cdr:y>
    </cdr:to>
    <cdr:sp macro="" textlink="">
      <cdr:nvSpPr>
        <cdr:cNvPr id="127" name="TextovéPole 51"/>
        <cdr:cNvSpPr txBox="1"/>
      </cdr:nvSpPr>
      <cdr:spPr>
        <a:xfrm xmlns:a="http://schemas.openxmlformats.org/drawingml/2006/main">
          <a:off x="2771775" y="2762250"/>
          <a:ext cx="85725" cy="85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0.08437</cdr:x>
      <cdr:y>0.17029</cdr:y>
    </cdr:to>
    <cdr:sp macro="" textlink="">
      <cdr:nvSpPr>
        <cdr:cNvPr id="6241" name="text 2"/>
        <cdr:cNvSpPr txBox="1">
          <a:spLocks xmlns:a="http://schemas.openxmlformats.org/drawingml/2006/main" noChangeArrowheads="1"/>
        </cdr:cNvSpPr>
      </cdr:nvSpPr>
      <cdr:spPr bwMode="auto">
        <a:xfrm xmlns:a="http://schemas.openxmlformats.org/drawingml/2006/main">
          <a:off x="239526" y="311666"/>
          <a:ext cx="262199" cy="24372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a:t>
          </a:r>
        </a:p>
      </cdr:txBody>
    </cdr:sp>
  </cdr:relSizeAnchor>
  <cdr:relSizeAnchor xmlns:cdr="http://schemas.openxmlformats.org/drawingml/2006/chartDrawing">
    <cdr:from>
      <cdr:x>0.02412</cdr:x>
      <cdr:y>0.82293</cdr:y>
    </cdr:from>
    <cdr:to>
      <cdr:x>0.08363</cdr:x>
      <cdr:y>0.87164</cdr:y>
    </cdr:to>
    <cdr:sp macro="" textlink="">
      <cdr:nvSpPr>
        <cdr:cNvPr id="624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4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0.03962</cdr:x>
      <cdr:y>0.09542</cdr:y>
    </cdr:from>
    <cdr:to>
      <cdr:x>0.08795</cdr:x>
      <cdr:y>0.13873</cdr:y>
    </cdr:to>
    <cdr:sp macro="" textlink="">
      <cdr:nvSpPr>
        <cdr:cNvPr id="6246" name="text 2"/>
        <cdr:cNvSpPr txBox="1">
          <a:spLocks xmlns:a="http://schemas.openxmlformats.org/drawingml/2006/main" noChangeArrowheads="1"/>
        </cdr:cNvSpPr>
      </cdr:nvSpPr>
      <cdr:spPr bwMode="auto">
        <a:xfrm xmlns:a="http://schemas.openxmlformats.org/drawingml/2006/main">
          <a:off x="231712" y="314471"/>
          <a:ext cx="282638" cy="142729"/>
        </a:xfrm>
        <a:prstGeom xmlns:a="http://schemas.openxmlformats.org/drawingml/2006/main" prst="rect">
          <a:avLst/>
        </a:prstGeom>
        <a:solidFill xmlns:a="http://schemas.openxmlformats.org/drawingml/2006/main">
          <a:schemeClr val="bg1"/>
        </a:solidFill>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endParaRPr lang="sk-SK" sz="800" b="0" i="0" u="none" strike="noStrike" baseline="0">
            <a:solidFill>
              <a:srgbClr val="000000"/>
            </a:solidFill>
            <a:latin typeface="Arial"/>
            <a:cs typeface="Arial"/>
          </a:endParaRPr>
        </a:p>
      </cdr:txBody>
    </cdr:sp>
  </cdr:relSizeAnchor>
  <cdr:relSizeAnchor xmlns:cdr="http://schemas.openxmlformats.org/drawingml/2006/chartDrawing">
    <cdr:from>
      <cdr:x>0.02412</cdr:x>
      <cdr:y>0.82293</cdr:y>
    </cdr:from>
    <cdr:to>
      <cdr:x>0.08363</cdr:x>
      <cdr:y>0.87164</cdr:y>
    </cdr:to>
    <cdr:sp macro="" textlink="">
      <cdr:nvSpPr>
        <cdr:cNvPr id="6247"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49"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5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5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57"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59"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6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6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67"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69"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7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7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77"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79"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0.12541</cdr:x>
      <cdr:y>0.13873</cdr:y>
    </cdr:from>
    <cdr:to>
      <cdr:x>0.14332</cdr:x>
      <cdr:y>0.19942</cdr:y>
    </cdr:to>
    <cdr:sp macro="" textlink="">
      <cdr:nvSpPr>
        <cdr:cNvPr id="6281" name="text 2"/>
        <cdr:cNvSpPr txBox="1">
          <a:spLocks xmlns:a="http://schemas.openxmlformats.org/drawingml/2006/main" noChangeArrowheads="1"/>
        </cdr:cNvSpPr>
      </cdr:nvSpPr>
      <cdr:spPr bwMode="auto">
        <a:xfrm xmlns:a="http://schemas.openxmlformats.org/drawingml/2006/main" flipH="1">
          <a:off x="733425" y="457199"/>
          <a:ext cx="104775" cy="20002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endParaRPr lang="sk-SK">
            <a:latin typeface="Arial" panose="020B0604020202020204" pitchFamily="34" charset="0"/>
            <a:cs typeface="Arial" panose="020B0604020202020204" pitchFamily="34" charset="0"/>
          </a:endParaRPr>
        </a:p>
      </cdr:txBody>
    </cdr:sp>
  </cdr:relSizeAnchor>
  <cdr:relSizeAnchor xmlns:cdr="http://schemas.openxmlformats.org/drawingml/2006/chartDrawing">
    <cdr:from>
      <cdr:x>0.02412</cdr:x>
      <cdr:y>0.82293</cdr:y>
    </cdr:from>
    <cdr:to>
      <cdr:x>0.08363</cdr:x>
      <cdr:y>0.87164</cdr:y>
    </cdr:to>
    <cdr:sp macro="" textlink="">
      <cdr:nvSpPr>
        <cdr:cNvPr id="6282"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84"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0.02412</cdr:x>
      <cdr:y>0.82293</cdr:y>
    </cdr:from>
    <cdr:to>
      <cdr:x>0.08363</cdr:x>
      <cdr:y>0.87164</cdr:y>
    </cdr:to>
    <cdr:sp macro="" textlink="">
      <cdr:nvSpPr>
        <cdr:cNvPr id="6286" name="text 3"/>
        <cdr:cNvSpPr txBox="1">
          <a:spLocks xmlns:a="http://schemas.openxmlformats.org/drawingml/2006/main" noChangeArrowheads="1"/>
        </cdr:cNvSpPr>
      </cdr:nvSpPr>
      <cdr:spPr bwMode="auto">
        <a:xfrm xmlns:a="http://schemas.openxmlformats.org/drawingml/2006/main">
          <a:off x="147324" y="2534989"/>
          <a:ext cx="350079" cy="1505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sk-SK" sz="800" b="0" i="0" u="none" strike="noStrike" baseline="0">
            <a:solidFill>
              <a:srgbClr val="000000"/>
            </a:solidFill>
            <a:latin typeface="Times New Roman CE"/>
            <a:cs typeface="Times New Roman CE"/>
          </a:endParaRPr>
        </a:p>
        <a:p xmlns:a="http://schemas.openxmlformats.org/drawingml/2006/main">
          <a:pPr algn="ctr" rtl="0">
            <a:defRPr sz="1000"/>
          </a:pPr>
          <a:endParaRPr lang="sk-SK" sz="800" b="0" i="0" u="none" strike="noStrike" baseline="0">
            <a:solidFill>
              <a:srgbClr val="000000"/>
            </a:solidFill>
            <a:latin typeface="Times New Roman CE"/>
            <a:cs typeface="Times New Roman CE"/>
          </a:endParaRPr>
        </a:p>
      </cdr:txBody>
    </cdr:sp>
  </cdr:relSizeAnchor>
  <cdr:relSizeAnchor xmlns:cdr="http://schemas.openxmlformats.org/drawingml/2006/chartDrawing">
    <cdr:from>
      <cdr:x>0.41982</cdr:x>
      <cdr:y>0.7948</cdr:y>
    </cdr:from>
    <cdr:to>
      <cdr:x>0.54333</cdr:x>
      <cdr:y>0.84473</cdr:y>
    </cdr:to>
    <cdr:sp macro="" textlink="">
      <cdr:nvSpPr>
        <cdr:cNvPr id="6288" name="text 17"/>
        <cdr:cNvSpPr txBox="1">
          <a:spLocks xmlns:a="http://schemas.openxmlformats.org/drawingml/2006/main" noChangeArrowheads="1"/>
        </cdr:cNvSpPr>
      </cdr:nvSpPr>
      <cdr:spPr bwMode="auto">
        <a:xfrm xmlns:a="http://schemas.openxmlformats.org/drawingml/2006/main">
          <a:off x="2452389" y="2438400"/>
          <a:ext cx="719436" cy="1524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endParaRPr lang="sk-SK"/>
        </a:p>
      </cdr:txBody>
    </cdr:sp>
  </cdr:relSizeAnchor>
  <cdr:relSizeAnchor xmlns:cdr="http://schemas.openxmlformats.org/drawingml/2006/chartDrawing">
    <cdr:from>
      <cdr:x>0.47468</cdr:x>
      <cdr:y>0.90062</cdr:y>
    </cdr:from>
    <cdr:to>
      <cdr:x>0.48909</cdr:x>
      <cdr:y>0.92833</cdr:y>
    </cdr:to>
    <cdr:sp macro="" textlink="">
      <cdr:nvSpPr>
        <cdr:cNvPr id="6289" name="TextovéPole 51"/>
        <cdr:cNvSpPr txBox="1"/>
      </cdr:nvSpPr>
      <cdr:spPr>
        <a:xfrm xmlns:a="http://schemas.openxmlformats.org/drawingml/2006/main">
          <a:off x="2771775" y="2762250"/>
          <a:ext cx="85725" cy="85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sk-SK"/>
        </a:p>
      </cdr:txBody>
    </cdr:sp>
  </cdr:relSizeAnchor>
  <cdr:relSizeAnchor xmlns:cdr="http://schemas.openxmlformats.org/drawingml/2006/chartDrawing">
    <cdr:from>
      <cdr:x>0.65528</cdr:x>
      <cdr:y>0.10968</cdr:y>
    </cdr:from>
    <cdr:to>
      <cdr:x>0.73447</cdr:x>
      <cdr:y>0.17019</cdr:y>
    </cdr:to>
    <cdr:sp macro="" textlink="">
      <cdr:nvSpPr>
        <cdr:cNvPr id="208" name="text 4"/>
        <cdr:cNvSpPr txBox="1">
          <a:spLocks xmlns:a="http://schemas.openxmlformats.org/drawingml/2006/main" noChangeArrowheads="1"/>
        </cdr:cNvSpPr>
      </cdr:nvSpPr>
      <cdr:spPr bwMode="auto">
        <a:xfrm xmlns:a="http://schemas.openxmlformats.org/drawingml/2006/main">
          <a:off x="3832287" y="365636"/>
          <a:ext cx="463131" cy="201725"/>
        </a:xfrm>
        <a:prstGeom xmlns:a="http://schemas.openxmlformats.org/drawingml/2006/main" prst="rect">
          <a:avLst/>
        </a:prstGeom>
        <a:solidFill xmlns:a="http://schemas.openxmlformats.org/drawingml/2006/main">
          <a:schemeClr val="bg1"/>
        </a:solidFill>
        <a:ln xmlns:a="http://schemas.openxmlformats.org/drawingml/2006/main" w="9525">
          <a:noFill/>
          <a:miter lim="800000"/>
          <a:headEnd/>
          <a:tailEnd/>
        </a:ln>
      </cdr:spPr>
      <cdr:txBody>
        <a:bodyPr xmlns:a="http://schemas.openxmlformats.org/drawingml/2006/main" wrap="square" lIns="27432" tIns="22860" rIns="27432" bIns="0" anchor="t"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0">
            <a:defRPr sz="1000"/>
          </a:pPr>
          <a:r>
            <a:rPr lang="sk-SK" sz="800" b="0" i="0" u="none" strike="noStrike" baseline="0">
              <a:solidFill>
                <a:srgbClr val="000000"/>
              </a:solidFill>
              <a:latin typeface="Arial"/>
              <a:cs typeface="Arial"/>
            </a:rPr>
            <a:t>mil. EUR</a:t>
          </a:r>
        </a:p>
      </cdr:txBody>
    </cdr:sp>
  </cdr:relSizeAnchor>
  <cdr:relSizeAnchor xmlns:cdr="http://schemas.openxmlformats.org/drawingml/2006/chartDrawing">
    <cdr:from>
      <cdr:x>0.02117</cdr:x>
      <cdr:y>0.13053</cdr:y>
    </cdr:from>
    <cdr:to>
      <cdr:x>0.057</cdr:x>
      <cdr:y>0.17581</cdr:y>
    </cdr:to>
    <cdr:sp macro="" textlink="">
      <cdr:nvSpPr>
        <cdr:cNvPr id="201" name="text 4"/>
        <cdr:cNvSpPr txBox="1">
          <a:spLocks xmlns:a="http://schemas.openxmlformats.org/drawingml/2006/main" noChangeArrowheads="1"/>
        </cdr:cNvSpPr>
      </cdr:nvSpPr>
      <cdr:spPr bwMode="auto">
        <a:xfrm xmlns:a="http://schemas.openxmlformats.org/drawingml/2006/main">
          <a:off x="123817" y="435154"/>
          <a:ext cx="209547" cy="15095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27432" tIns="22860" rIns="27432" bIns="0" anchor="t"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0">
            <a:defRPr sz="1000"/>
          </a:pPr>
          <a:r>
            <a:rPr lang="sk-SK" sz="800" b="0" i="0" u="none" strike="noStrike" baseline="0">
              <a:solidFill>
                <a:srgbClr val="000000"/>
              </a:solidFill>
              <a:latin typeface="Arial"/>
              <a:cs typeface="Arial"/>
            </a:rPr>
            <a:t>%</a:t>
          </a:r>
        </a:p>
      </cdr:txBody>
    </cdr:sp>
  </cdr:relSizeAnchor>
</c:userShapes>
</file>

<file path=word/drawings/drawing2.xml><?xml version="1.0" encoding="utf-8"?>
<c:userShapes xmlns:c="http://schemas.openxmlformats.org/drawingml/2006/chart">
  <cdr:relSizeAnchor xmlns:cdr="http://schemas.openxmlformats.org/drawingml/2006/chartDrawing">
    <cdr:from>
      <cdr:x>0.17506</cdr:x>
      <cdr:y>0.04474</cdr:y>
    </cdr:from>
    <cdr:to>
      <cdr:x>0.90496</cdr:x>
      <cdr:y>0.13041</cdr:y>
    </cdr:to>
    <cdr:sp macro="" textlink="">
      <cdr:nvSpPr>
        <cdr:cNvPr id="2" name="BlokTextu 1"/>
        <cdr:cNvSpPr txBox="1"/>
      </cdr:nvSpPr>
      <cdr:spPr>
        <a:xfrm xmlns:a="http://schemas.openxmlformats.org/drawingml/2006/main">
          <a:off x="1030403" y="147052"/>
          <a:ext cx="4296192" cy="281574"/>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ctr"/>
          <a:endParaRPr lang="sk-SK" sz="900" b="1">
            <a:latin typeface="Arial" pitchFamily="34" charset="0"/>
            <a:cs typeface="Arial" pitchFamily="34" charset="0"/>
          </a:endParaRPr>
        </a:p>
      </cdr:txBody>
    </cdr:sp>
  </cdr:relSizeAnchor>
  <cdr:relSizeAnchor xmlns:cdr="http://schemas.openxmlformats.org/drawingml/2006/chartDrawing">
    <cdr:from>
      <cdr:x>0</cdr:x>
      <cdr:y>0.0029</cdr:y>
    </cdr:from>
    <cdr:to>
      <cdr:x>0.7299</cdr:x>
      <cdr:y>0.08567</cdr:y>
    </cdr:to>
    <cdr:sp macro="" textlink="">
      <cdr:nvSpPr>
        <cdr:cNvPr id="3" name="BlokTextu 1"/>
        <cdr:cNvSpPr txBox="1"/>
      </cdr:nvSpPr>
      <cdr:spPr>
        <a:xfrm xmlns:a="http://schemas.openxmlformats.org/drawingml/2006/main">
          <a:off x="0" y="9525"/>
          <a:ext cx="4296192" cy="272049"/>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l"/>
          <a:r>
            <a:rPr lang="sk-SK" sz="900" b="1">
              <a:latin typeface="Arial" pitchFamily="34" charset="0"/>
              <a:cs typeface="Arial" pitchFamily="34" charset="0"/>
            </a:rPr>
            <a:t>G3. Tvorba hrubého kapitálu v bežných cenách</a:t>
          </a:r>
        </a:p>
      </cdr:txBody>
    </cdr:sp>
  </cdr:relSizeAnchor>
</c:userShapes>
</file>

<file path=word/drawings/drawing3.xml><?xml version="1.0" encoding="utf-8"?>
<c:userShapes xmlns:c="http://schemas.openxmlformats.org/drawingml/2006/chart">
  <cdr:relSizeAnchor xmlns:cdr="http://schemas.openxmlformats.org/drawingml/2006/chartDrawing">
    <cdr:from>
      <cdr:x>0.05658</cdr:x>
      <cdr:y>0.08608</cdr:y>
    </cdr:from>
    <cdr:to>
      <cdr:x>0.10589</cdr:x>
      <cdr:y>0.12893</cdr:y>
    </cdr:to>
    <cdr:sp macro="" textlink="">
      <cdr:nvSpPr>
        <cdr:cNvPr id="8253" name="text 9"/>
        <cdr:cNvSpPr txBox="1">
          <a:spLocks xmlns:a="http://schemas.openxmlformats.org/drawingml/2006/main" noChangeArrowheads="1"/>
        </cdr:cNvSpPr>
      </cdr:nvSpPr>
      <cdr:spPr bwMode="auto">
        <a:xfrm xmlns:a="http://schemas.openxmlformats.org/drawingml/2006/main">
          <a:off x="338441" y="245146"/>
          <a:ext cx="294958" cy="12205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EUR</a:t>
          </a:r>
        </a:p>
      </cdr:txBody>
    </cdr:sp>
  </cdr:relSizeAnchor>
</c:userShape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B13F-7267-4CFB-A333-840C8F5B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13102</Words>
  <Characters>74687</Characters>
  <Application>Microsoft Office Word</Application>
  <DocSecurity>0</DocSecurity>
  <Lines>622</Lines>
  <Paragraphs>175</Paragraphs>
  <ScaleCrop>false</ScaleCrop>
  <HeadingPairs>
    <vt:vector size="6" baseType="variant">
      <vt:variant>
        <vt:lpstr>Názov</vt:lpstr>
      </vt:variant>
      <vt:variant>
        <vt:i4>1</vt:i4>
      </vt:variant>
      <vt:variant>
        <vt:lpstr>Název</vt:lpstr>
      </vt:variant>
      <vt:variant>
        <vt:i4>1</vt:i4>
      </vt:variant>
      <vt:variant>
        <vt:lpstr>ŠTATISTICKÁ SPRÁVA  </vt:lpstr>
      </vt:variant>
      <vt:variant>
        <vt:i4>0</vt:i4>
      </vt:variant>
    </vt:vector>
  </HeadingPairs>
  <TitlesOfParts>
    <vt:vector size="2" baseType="lpstr">
      <vt:lpstr>ŠTATISTICKÁ SPRÁVA</vt:lpstr>
      <vt:lpstr>ŠTATISTICKÁ SPRÁVA  </vt:lpstr>
    </vt:vector>
  </TitlesOfParts>
  <Company>ŠÚ SR</Company>
  <LinksUpToDate>false</LinksUpToDate>
  <CharactersWithSpaces>87614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ŠTATISTICKÁ SPRÁVA</dc:title>
  <dc:subject/>
  <dc:creator>DEFAULT PC</dc:creator>
  <cp:keywords/>
  <cp:lastModifiedBy>Gabriela Haasová</cp:lastModifiedBy>
  <cp:revision>8</cp:revision>
  <cp:lastPrinted>2021-08-25T08:00:00Z</cp:lastPrinted>
  <dcterms:created xsi:type="dcterms:W3CDTF">2026-03-17T06:51:00Z</dcterms:created>
  <dcterms:modified xsi:type="dcterms:W3CDTF">2026-03-17T09:47:00Z</dcterms:modified>
</cp:coreProperties>
</file>